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FE7EF" w14:textId="77777777" w:rsidR="00993A47" w:rsidRDefault="00000000">
      <w:pPr>
        <w:pStyle w:val="Title"/>
        <w:jc w:val="center"/>
      </w:pPr>
      <w:r>
        <w:rPr>
          <w:color w:val="8A1B3F"/>
        </w:rPr>
        <w:t>EARLHAM COLLEGE</w:t>
      </w:r>
    </w:p>
    <w:p w14:paraId="4A118926" w14:textId="77777777" w:rsidR="00993A47" w:rsidRDefault="00000000">
      <w:pPr>
        <w:spacing w:before="60" w:after="240"/>
        <w:jc w:val="center"/>
      </w:pPr>
      <w:r>
        <w:rPr>
          <w:b/>
          <w:color w:val="8A1B3F"/>
          <w:sz w:val="32"/>
          <w:szCs w:val="32"/>
        </w:rPr>
        <w:t>IRB Exemption Request</w:t>
      </w:r>
    </w:p>
    <w:p w14:paraId="1DC76208" w14:textId="77777777" w:rsidR="00993A47" w:rsidRDefault="00000000">
      <w:pPr>
        <w:spacing w:before="80" w:after="80"/>
      </w:pPr>
      <w:r>
        <w:t>This form is for research projects that may qualify for exemption from full IRB review. Exemption is available for research that poses minimal risk and falls into one of eight federally defined categories.</w:t>
      </w:r>
      <w:r>
        <w:rPr>
          <w:rStyle w:val="FootnoteReference"/>
        </w:rPr>
        <w:footnoteReference w:id="1"/>
      </w:r>
      <w:r>
        <w:t xml:space="preserve"> The IRB’s determination is final; investigators may not self-determine that their research is exempt.</w:t>
      </w:r>
    </w:p>
    <w:p w14:paraId="05087D9D" w14:textId="77777777" w:rsidR="00993A47" w:rsidRDefault="00000000">
      <w:pPr>
        <w:spacing w:before="80" w:after="80"/>
      </w:pPr>
      <w:r>
        <w:t>Some exemption categories require a brief additional review focused on privacy and confidentiality protections.</w:t>
      </w:r>
      <w:r>
        <w:rPr>
          <w:rStyle w:val="FootnoteReference"/>
        </w:rPr>
        <w:footnoteReference w:id="2"/>
      </w:r>
      <w:r>
        <w:t xml:space="preserve"> The IRB will notify you if this applies to your project.</w:t>
      </w:r>
    </w:p>
    <w:p w14:paraId="31C7A60F" w14:textId="77777777" w:rsidR="00993A47" w:rsidRDefault="00000000">
      <w:pPr>
        <w:spacing w:before="80" w:after="80"/>
      </w:pPr>
      <w:r>
        <w:t>If a question does not apply to your research project, please indicate this by typing “N/A” in the answer area.</w:t>
      </w:r>
    </w:p>
    <w:p w14:paraId="533A65DD" w14:textId="77777777" w:rsidR="00993A47" w:rsidRDefault="00000000">
      <w:pPr>
        <w:spacing w:before="80" w:after="80"/>
      </w:pPr>
      <w:r w:rsidRPr="00C66CD3">
        <w:rPr>
          <w:b/>
          <w:highlight w:val="yellow"/>
        </w:rPr>
        <w:t>Projects with student Principal Investigators should be emailed to the IRB by the faculty sponsor.</w:t>
      </w:r>
    </w:p>
    <w:p w14:paraId="0262B604" w14:textId="77777777" w:rsidR="00993A47" w:rsidRDefault="00000000">
      <w:pPr>
        <w:spacing w:before="60" w:after="200"/>
      </w:pPr>
      <w:r>
        <w:t xml:space="preserve">Sending such an email indicates faculty approval and advising of the proposed research. Students may </w:t>
      </w:r>
      <w:r>
        <w:rPr>
          <w:i/>
        </w:rPr>
        <w:t>not</w:t>
      </w:r>
      <w:r>
        <w:t xml:space="preserve"> submit IRB proposals directly. </w:t>
      </w:r>
      <w:r w:rsidRPr="00C66CD3">
        <w:rPr>
          <w:highlight w:val="yellow"/>
        </w:rPr>
        <w:t>Applications submitted by students will be returned without review.</w:t>
      </w:r>
    </w:p>
    <w:p w14:paraId="1FED6C0E" w14:textId="77777777" w:rsidR="00993A47" w:rsidRDefault="00000000">
      <w:pPr>
        <w:pStyle w:val="Heading1"/>
      </w:pPr>
      <w:r>
        <w:t>A. Investigator Information</w:t>
      </w:r>
    </w:p>
    <w:p w14:paraId="72571C31" w14:textId="77777777" w:rsidR="00993A47" w:rsidRDefault="00000000" w:rsidP="00467817">
      <w:pPr>
        <w:spacing w:before="120" w:after="120"/>
        <w:ind w:left="360"/>
      </w:pPr>
      <w:r>
        <w:rPr>
          <w:b/>
        </w:rPr>
        <w:t>Principal Investigator(s):</w:t>
      </w:r>
      <w:r>
        <w:rPr>
          <w:color w:val="8A1B3F"/>
        </w:rPr>
        <w:t xml:space="preserve"> Response required</w:t>
      </w:r>
    </w:p>
    <w:p w14:paraId="3C186576" w14:textId="77777777" w:rsidR="00C66CD3" w:rsidRDefault="00000000" w:rsidP="00467817">
      <w:pPr>
        <w:spacing w:before="120" w:after="120"/>
        <w:ind w:left="360"/>
      </w:pPr>
      <w:r>
        <w:rPr>
          <w:b/>
        </w:rPr>
        <w:t xml:space="preserve">Phone #: </w:t>
      </w:r>
      <w:r>
        <w:t xml:space="preserve">          </w:t>
      </w:r>
    </w:p>
    <w:p w14:paraId="12E1831B" w14:textId="5DBFB03B" w:rsidR="00993A47" w:rsidRDefault="00000000" w:rsidP="00467817">
      <w:pPr>
        <w:spacing w:before="120" w:after="120"/>
        <w:ind w:left="360"/>
      </w:pPr>
      <w:r>
        <w:rPr>
          <w:b/>
        </w:rPr>
        <w:t xml:space="preserve">Email(s): </w:t>
      </w:r>
      <w:r w:rsidR="00C66CD3">
        <w:rPr>
          <w:color w:val="8A1B3F"/>
        </w:rPr>
        <w:t>Response required</w:t>
      </w:r>
    </w:p>
    <w:p w14:paraId="706F6DA9" w14:textId="77777777" w:rsidR="00993A47" w:rsidRDefault="00000000" w:rsidP="00467817">
      <w:pPr>
        <w:spacing w:before="120" w:after="120"/>
        <w:ind w:left="360"/>
      </w:pPr>
      <w:r>
        <w:rPr>
          <w:b/>
        </w:rPr>
        <w:t>Additional Investigator(s):</w:t>
      </w:r>
      <w:r>
        <w:rPr>
          <w:color w:val="8A1B3F"/>
        </w:rPr>
        <w:t xml:space="preserve"> Response required</w:t>
      </w:r>
    </w:p>
    <w:p w14:paraId="7DCED7D7" w14:textId="77777777" w:rsidR="00993A47" w:rsidRDefault="00000000" w:rsidP="00467817">
      <w:pPr>
        <w:spacing w:before="120" w:after="120"/>
        <w:ind w:left="360"/>
      </w:pPr>
      <w:r>
        <w:rPr>
          <w:b/>
        </w:rPr>
        <w:t>Faculty Sponsor Name and Email (for student PIs):</w:t>
      </w:r>
      <w:r>
        <w:rPr>
          <w:color w:val="8A1B3F"/>
        </w:rPr>
        <w:t xml:space="preserve"> Response required</w:t>
      </w:r>
    </w:p>
    <w:p w14:paraId="033B3F15" w14:textId="77777777" w:rsidR="00993A47" w:rsidRDefault="00000000" w:rsidP="00467817">
      <w:pPr>
        <w:spacing w:before="120" w:after="120"/>
        <w:ind w:left="360"/>
      </w:pPr>
      <w:r>
        <w:rPr>
          <w:b/>
        </w:rPr>
        <w:t>Department:</w:t>
      </w:r>
      <w:r>
        <w:rPr>
          <w:color w:val="8A1B3F"/>
        </w:rPr>
        <w:t xml:space="preserve"> Response required</w:t>
      </w:r>
    </w:p>
    <w:p w14:paraId="12EFB25E" w14:textId="77777777" w:rsidR="00993A47" w:rsidRDefault="00000000" w:rsidP="00467817">
      <w:pPr>
        <w:spacing w:before="120" w:after="120"/>
        <w:ind w:left="360"/>
      </w:pPr>
      <w:r>
        <w:rPr>
          <w:b/>
        </w:rPr>
        <w:t>Title of Project:</w:t>
      </w:r>
      <w:r>
        <w:rPr>
          <w:color w:val="8A1B3F"/>
        </w:rPr>
        <w:t xml:space="preserve"> Response required</w:t>
      </w:r>
    </w:p>
    <w:p w14:paraId="109A7A4C" w14:textId="77777777" w:rsidR="00993A47" w:rsidRDefault="00000000" w:rsidP="00467817">
      <w:pPr>
        <w:spacing w:before="120" w:after="120"/>
        <w:ind w:left="360"/>
      </w:pPr>
      <w:r>
        <w:rPr>
          <w:b/>
        </w:rPr>
        <w:t xml:space="preserve">Source of Non-Earlham Funding for Research (if any): </w:t>
      </w:r>
      <w:r>
        <w:rPr>
          <w:color w:val="8A1B3F"/>
        </w:rPr>
        <w:t>This question must be answered. Write “No funding outside of Earlham” if it is accurate.</w:t>
      </w:r>
    </w:p>
    <w:p w14:paraId="11527E4B" w14:textId="77777777" w:rsidR="00993A47" w:rsidRDefault="00000000">
      <w:pPr>
        <w:pStyle w:val="Heading1"/>
      </w:pPr>
      <w:r>
        <w:t>B. Campus Email List Usage</w:t>
      </w:r>
    </w:p>
    <w:p w14:paraId="24C3BE11" w14:textId="77777777" w:rsidR="00993A47" w:rsidRDefault="00000000" w:rsidP="00467817">
      <w:pPr>
        <w:spacing w:before="120" w:after="120"/>
        <w:ind w:left="360"/>
      </w:pPr>
      <w:r>
        <w:rPr>
          <w:b/>
        </w:rPr>
        <w:t>Do you intend to use campus email lists (student, faculty, staff, employee) to send a request to complete the survey?</w:t>
      </w:r>
      <w:r>
        <w:rPr>
          <w:color w:val="8A1B3F"/>
        </w:rPr>
        <w:t xml:space="preserve"> Response required</w:t>
      </w:r>
    </w:p>
    <w:p w14:paraId="045F5C35" w14:textId="77777777" w:rsidR="00993A47" w:rsidRDefault="00000000" w:rsidP="00467817">
      <w:pPr>
        <w:spacing w:before="120" w:after="120"/>
        <w:ind w:left="360"/>
      </w:pPr>
      <w:r>
        <w:rPr>
          <w:b/>
        </w:rPr>
        <w:lastRenderedPageBreak/>
        <w:t>If yes, have you spoken to the Office of Institutional Effectiveness? Please enter the date of your conversation or email exchange and a summary of the conversation:</w:t>
      </w:r>
      <w:r>
        <w:rPr>
          <w:color w:val="8A1B3F"/>
        </w:rPr>
        <w:t xml:space="preserve"> Response required if “yes”</w:t>
      </w:r>
    </w:p>
    <w:p w14:paraId="59612269" w14:textId="5F2B6149" w:rsidR="00993A47" w:rsidRDefault="00000000" w:rsidP="00467817">
      <w:pPr>
        <w:spacing w:before="80" w:after="80"/>
        <w:ind w:left="360"/>
      </w:pPr>
      <w:r>
        <w:t>(Please be aware t</w:t>
      </w:r>
      <w:r w:rsidR="00E57F5C">
        <w:t>hat most surveys are not</w:t>
      </w:r>
      <w:r>
        <w:t xml:space="preserve"> approved</w:t>
      </w:r>
      <w:r w:rsidR="00E57F5C">
        <w:t xml:space="preserve"> for wide distribution</w:t>
      </w:r>
      <w:r>
        <w:t xml:space="preserve"> by the Institutional Effectiveness Office</w:t>
      </w:r>
      <w:r w:rsidR="00E57F5C">
        <w:t>. This is to prevent survey fatigue, which drives down response rates for critical institutional surveys. The Office of Institutional Effectiveness</w:t>
      </w:r>
      <w:r>
        <w:t xml:space="preserve"> can be reached at institutionaleffectiveness@earlham.edu. If you do not get approval, you may NOT send your survey out via those email lists.)</w:t>
      </w:r>
    </w:p>
    <w:p w14:paraId="7E720915" w14:textId="77777777" w:rsidR="00993A47" w:rsidRDefault="00000000" w:rsidP="00467817">
      <w:pPr>
        <w:spacing w:before="80" w:after="80"/>
        <w:ind w:left="360"/>
      </w:pPr>
      <w:r>
        <w:rPr>
          <w:i/>
        </w:rPr>
        <w:t>Do not proceed if you intend to use a campus email list and have not sought approval from the Institutional Effectiveness Office.</w:t>
      </w:r>
    </w:p>
    <w:p w14:paraId="77D35CE4" w14:textId="77777777" w:rsidR="00993A47" w:rsidRDefault="00000000">
      <w:pPr>
        <w:pStyle w:val="Heading1"/>
      </w:pPr>
      <w:r>
        <w:t>C. Research Overview</w:t>
      </w:r>
    </w:p>
    <w:p w14:paraId="029F972F" w14:textId="77777777" w:rsidR="00993A47" w:rsidRDefault="00000000" w:rsidP="00467817">
      <w:pPr>
        <w:spacing w:before="120" w:after="120"/>
        <w:ind w:left="360"/>
      </w:pPr>
      <w:r>
        <w:rPr>
          <w:b/>
        </w:rPr>
        <w:t>Mode(s) of Data Collection (in person, phone, email, computer assisted):</w:t>
      </w:r>
      <w:r>
        <w:rPr>
          <w:color w:val="8A1B3F"/>
        </w:rPr>
        <w:t xml:space="preserve"> Response required</w:t>
      </w:r>
    </w:p>
    <w:p w14:paraId="3F779F65" w14:textId="77777777" w:rsidR="00993A47" w:rsidRDefault="00000000" w:rsidP="00467817">
      <w:pPr>
        <w:spacing w:before="120" w:after="120"/>
        <w:ind w:left="360"/>
      </w:pPr>
      <w:r>
        <w:rPr>
          <w:b/>
        </w:rPr>
        <w:t>Research Question of Interest:</w:t>
      </w:r>
      <w:r>
        <w:rPr>
          <w:color w:val="8A1B3F"/>
        </w:rPr>
        <w:t xml:space="preserve"> Response required</w:t>
      </w:r>
    </w:p>
    <w:p w14:paraId="6B2ABDCF" w14:textId="77777777" w:rsidR="00993A47" w:rsidRDefault="00000000" w:rsidP="00467817">
      <w:pPr>
        <w:spacing w:before="200" w:after="60"/>
        <w:ind w:left="360"/>
      </w:pPr>
      <w:r>
        <w:rPr>
          <w:b/>
        </w:rPr>
        <w:t>Brief Explanation of Procedure for Research Participants (explain what participants will be asked to do, including example questions to answer, explanations of materials, etc. — the IRB has to be able to determine whether the procedures qualify for exemption):</w:t>
      </w:r>
    </w:p>
    <w:p w14:paraId="61C0900E" w14:textId="77777777" w:rsidR="00993A47" w:rsidRDefault="00000000" w:rsidP="00467817">
      <w:pPr>
        <w:spacing w:before="80" w:after="80"/>
        <w:ind w:left="360"/>
      </w:pPr>
      <w:r>
        <w:rPr>
          <w:color w:val="8A1B3F"/>
        </w:rPr>
        <w:t>Response required</w:t>
      </w:r>
    </w:p>
    <w:p w14:paraId="33634B78" w14:textId="77777777" w:rsidR="00993A47" w:rsidRDefault="00000000">
      <w:pPr>
        <w:pStyle w:val="Heading1"/>
      </w:pPr>
      <w:r>
        <w:t>D. Participants and Risk</w:t>
      </w:r>
    </w:p>
    <w:p w14:paraId="03530108" w14:textId="77777777" w:rsidR="00993A47" w:rsidRDefault="00000000">
      <w:pPr>
        <w:pStyle w:val="Heading2"/>
      </w:pPr>
      <w:r>
        <w:t>Source of Participants</w:t>
      </w:r>
    </w:p>
    <w:p w14:paraId="225B397E" w14:textId="77777777" w:rsidR="00993A47" w:rsidRDefault="00000000" w:rsidP="00467817">
      <w:pPr>
        <w:spacing w:before="80" w:after="80"/>
        <w:ind w:left="360"/>
      </w:pPr>
      <w:r>
        <w:rPr>
          <w:b/>
        </w:rPr>
        <w:t>Include information about where and how participants will be recruited or obtained.</w:t>
      </w:r>
    </w:p>
    <w:p w14:paraId="20B96959" w14:textId="77777777" w:rsidR="00993A47" w:rsidRDefault="00000000" w:rsidP="00467817">
      <w:pPr>
        <w:spacing w:before="80" w:after="80"/>
        <w:ind w:left="360"/>
      </w:pPr>
      <w:r>
        <w:t>Please note the following restrictions on exempt research involving specific populations:</w:t>
      </w:r>
    </w:p>
    <w:p w14:paraId="040B4C42" w14:textId="77777777" w:rsidR="00993A47" w:rsidRDefault="00000000" w:rsidP="00467817">
      <w:pPr>
        <w:spacing w:before="60" w:after="60"/>
        <w:ind w:left="360"/>
      </w:pPr>
      <w:r>
        <w:t xml:space="preserve">• Research involving </w:t>
      </w:r>
      <w:r>
        <w:rPr>
          <w:b/>
        </w:rPr>
        <w:t>prisoners</w:t>
      </w:r>
      <w:r>
        <w:t xml:space="preserve"> is generally not eligible for exemption, unless the research involves a broader subject population and only incidentally includes prisoners.</w:t>
      </w:r>
      <w:r>
        <w:rPr>
          <w:rStyle w:val="FootnoteReference"/>
        </w:rPr>
        <w:footnoteReference w:id="3"/>
      </w:r>
    </w:p>
    <w:p w14:paraId="40793A0C" w14:textId="77777777" w:rsidR="00993A47" w:rsidRDefault="00000000" w:rsidP="00467817">
      <w:pPr>
        <w:spacing w:before="60" w:after="60"/>
        <w:ind w:left="360"/>
      </w:pPr>
      <w:r>
        <w:t xml:space="preserve">• Research involving </w:t>
      </w:r>
      <w:r>
        <w:rPr>
          <w:b/>
        </w:rPr>
        <w:t>children</w:t>
      </w:r>
      <w:r>
        <w:t xml:space="preserve"> may qualify for exemption under categories 1, 4, 5, 6, 7, and 8 only. Categories 2 and 3 are limited to educational tests or observation of public behavior where the investigator does not participate in the activities being observed.</w:t>
      </w:r>
      <w:r>
        <w:rPr>
          <w:rStyle w:val="FootnoteReference"/>
        </w:rPr>
        <w:footnoteReference w:id="4"/>
      </w:r>
    </w:p>
    <w:p w14:paraId="05B4AF70" w14:textId="77777777" w:rsidR="00993A47" w:rsidRDefault="00000000" w:rsidP="00467817">
      <w:pPr>
        <w:spacing w:before="60" w:after="60"/>
        <w:ind w:left="360"/>
      </w:pPr>
      <w:r>
        <w:t xml:space="preserve">• Research involving </w:t>
      </w:r>
      <w:r>
        <w:rPr>
          <w:b/>
        </w:rPr>
        <w:t>pregnant women, fetuses, and neonates</w:t>
      </w:r>
      <w:r>
        <w:t xml:space="preserve"> may qualify for exemption if the conditions of the exemption category are met.</w:t>
      </w:r>
      <w:r>
        <w:rPr>
          <w:rStyle w:val="FootnoteReference"/>
        </w:rPr>
        <w:footnoteReference w:id="5"/>
      </w:r>
    </w:p>
    <w:p w14:paraId="7FBAFD54" w14:textId="77777777" w:rsidR="00993A47" w:rsidRDefault="00000000" w:rsidP="00467817">
      <w:pPr>
        <w:spacing w:before="80" w:after="80"/>
        <w:ind w:left="360"/>
      </w:pPr>
      <w:r>
        <w:rPr>
          <w:i/>
        </w:rPr>
        <w:t>If your research involves any of these populations, please describe this in your response and the IRB will determine whether your exemption request can proceed.</w:t>
      </w:r>
    </w:p>
    <w:p w14:paraId="43956EB6" w14:textId="77777777" w:rsidR="00993A47" w:rsidRDefault="00000000" w:rsidP="00467817">
      <w:pPr>
        <w:spacing w:before="80" w:after="80"/>
        <w:ind w:left="360"/>
      </w:pPr>
      <w:r>
        <w:rPr>
          <w:color w:val="8A1B3F"/>
        </w:rPr>
        <w:t>Response required</w:t>
      </w:r>
    </w:p>
    <w:p w14:paraId="56C504DF" w14:textId="77777777" w:rsidR="00993A47" w:rsidRDefault="00000000">
      <w:pPr>
        <w:pStyle w:val="Heading2"/>
      </w:pPr>
      <w:r>
        <w:lastRenderedPageBreak/>
        <w:t>Explanation of Minimal Risk</w:t>
      </w:r>
    </w:p>
    <w:p w14:paraId="5F58C729" w14:textId="27396B61" w:rsidR="00993A47" w:rsidRDefault="00C66CD3" w:rsidP="00467817">
      <w:pPr>
        <w:spacing w:before="80" w:after="80"/>
        <w:ind w:left="360"/>
      </w:pPr>
      <w:r>
        <w:t>Explain how this research poses no more than minimal risk to participants. “Minimal risk” means that the risks of your research are no greater than what people typically encounter in everyday life or during routine check-ups and tests.</w:t>
      </w:r>
      <w:r>
        <w:rPr>
          <w:rStyle w:val="FootnoteReference"/>
        </w:rPr>
        <w:footnoteReference w:id="6"/>
      </w:r>
    </w:p>
    <w:p w14:paraId="6BDD5C2A" w14:textId="77777777" w:rsidR="00993A47" w:rsidRDefault="00000000" w:rsidP="00467817">
      <w:pPr>
        <w:spacing w:before="80" w:after="80"/>
        <w:ind w:left="360"/>
      </w:pPr>
      <w:r>
        <w:t>Address any potential physical, psychological, or social risks, and explain why they do not exceed this threshold. A typical response is one to two paragraphs.</w:t>
      </w:r>
    </w:p>
    <w:p w14:paraId="2625A328" w14:textId="77777777" w:rsidR="00993A47" w:rsidRDefault="00000000" w:rsidP="00467817">
      <w:pPr>
        <w:spacing w:before="80" w:after="80"/>
        <w:ind w:left="360"/>
      </w:pPr>
      <w:r>
        <w:rPr>
          <w:color w:val="8A1B3F"/>
        </w:rPr>
        <w:t>Response required</w:t>
      </w:r>
    </w:p>
    <w:p w14:paraId="0CF0FE97" w14:textId="77777777" w:rsidR="00993A47" w:rsidRDefault="00000000">
      <w:pPr>
        <w:pStyle w:val="Heading1"/>
      </w:pPr>
      <w:r>
        <w:t>E. Justification for Exemption</w:t>
      </w:r>
    </w:p>
    <w:p w14:paraId="14639E28" w14:textId="60D93D94" w:rsidR="00993A47" w:rsidRDefault="00000000" w:rsidP="00467817">
      <w:pPr>
        <w:spacing w:before="80" w:after="80"/>
      </w:pPr>
      <w:r>
        <w:rPr>
          <w:b/>
          <w:i/>
          <w:u w:val="single"/>
        </w:rPr>
        <w:t>Answer Yes or No for every category below.</w:t>
      </w:r>
      <w:r>
        <w:rPr>
          <w:i/>
        </w:rPr>
        <w:t xml:space="preserve"> For any applicable category, explain how that exemption applies to your research. If a category includes sub-conditions, indicate which sub-condition applies.</w:t>
      </w:r>
    </w:p>
    <w:p w14:paraId="4CB719F4" w14:textId="6CE2DFC9" w:rsidR="00993A47" w:rsidRDefault="00C66CD3" w:rsidP="00467817">
      <w:pPr>
        <w:spacing w:before="160" w:after="80"/>
      </w:pPr>
      <w:r>
        <w:rPr>
          <w:b/>
          <w:i/>
        </w:rPr>
        <w:t>Read the full category explanations below &amp; complete this table. Any category marked “Yes” requires a written explanation in the corresponding section.</w:t>
      </w:r>
    </w:p>
    <w:tbl>
      <w:tblPr>
        <w:tblStyle w:val="TableGrid"/>
        <w:tblW w:w="936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500"/>
        <w:gridCol w:w="6060"/>
        <w:gridCol w:w="1800"/>
      </w:tblGrid>
      <w:tr w:rsidR="00993A47" w14:paraId="4A0D95ED" w14:textId="77777777">
        <w:tc>
          <w:tcPr>
            <w:tcW w:w="1500" w:type="dxa"/>
            <w:shd w:val="clear" w:color="auto" w:fill="8A1B3F"/>
            <w:tcMar>
              <w:top w:w="60" w:type="dxa"/>
              <w:left w:w="120" w:type="dxa"/>
              <w:bottom w:w="60" w:type="dxa"/>
              <w:right w:w="120" w:type="dxa"/>
            </w:tcMar>
          </w:tcPr>
          <w:p w14:paraId="276B930A" w14:textId="77777777" w:rsidR="00993A47" w:rsidRDefault="00000000" w:rsidP="00467817">
            <w:pPr>
              <w:jc w:val="center"/>
            </w:pPr>
            <w:r>
              <w:rPr>
                <w:b/>
                <w:color w:val="FFFFFF"/>
                <w:sz w:val="20"/>
                <w:szCs w:val="20"/>
              </w:rPr>
              <w:t>Category</w:t>
            </w:r>
          </w:p>
        </w:tc>
        <w:tc>
          <w:tcPr>
            <w:tcW w:w="6060" w:type="dxa"/>
            <w:shd w:val="clear" w:color="auto" w:fill="8A1B3F"/>
            <w:tcMar>
              <w:top w:w="60" w:type="dxa"/>
              <w:left w:w="120" w:type="dxa"/>
              <w:bottom w:w="60" w:type="dxa"/>
              <w:right w:w="120" w:type="dxa"/>
            </w:tcMar>
          </w:tcPr>
          <w:p w14:paraId="64F4A199" w14:textId="77777777" w:rsidR="00993A47" w:rsidRDefault="00000000" w:rsidP="00467817">
            <w:r>
              <w:rPr>
                <w:b/>
                <w:color w:val="FFFFFF"/>
                <w:sz w:val="20"/>
                <w:szCs w:val="20"/>
              </w:rPr>
              <w:t>Description</w:t>
            </w:r>
          </w:p>
        </w:tc>
        <w:tc>
          <w:tcPr>
            <w:tcW w:w="1800" w:type="dxa"/>
            <w:shd w:val="clear" w:color="auto" w:fill="8A1B3F"/>
            <w:tcMar>
              <w:top w:w="60" w:type="dxa"/>
              <w:left w:w="120" w:type="dxa"/>
              <w:bottom w:w="60" w:type="dxa"/>
              <w:right w:w="120" w:type="dxa"/>
            </w:tcMar>
          </w:tcPr>
          <w:p w14:paraId="17E868EA" w14:textId="77777777" w:rsidR="00993A47" w:rsidRDefault="00000000" w:rsidP="00467817">
            <w:pPr>
              <w:jc w:val="center"/>
            </w:pPr>
            <w:r>
              <w:rPr>
                <w:b/>
                <w:color w:val="FFFFFF"/>
                <w:sz w:val="20"/>
                <w:szCs w:val="20"/>
              </w:rPr>
              <w:t>Yes / No</w:t>
            </w:r>
          </w:p>
        </w:tc>
      </w:tr>
      <w:tr w:rsidR="00993A47" w14:paraId="3993E46D" w14:textId="77777777">
        <w:tc>
          <w:tcPr>
            <w:tcW w:w="1500" w:type="dxa"/>
            <w:tcMar>
              <w:top w:w="60" w:type="dxa"/>
              <w:left w:w="120" w:type="dxa"/>
              <w:bottom w:w="60" w:type="dxa"/>
              <w:right w:w="120" w:type="dxa"/>
            </w:tcMar>
          </w:tcPr>
          <w:p w14:paraId="063D726D" w14:textId="31D37C9B" w:rsidR="00993A47" w:rsidRDefault="00000000" w:rsidP="00467817">
            <w:pPr>
              <w:jc w:val="center"/>
            </w:pPr>
            <w:hyperlink w:anchor="_Category_1_—" w:history="1">
              <w:r w:rsidR="00467817" w:rsidRPr="00467817">
                <w:rPr>
                  <w:rStyle w:val="Hyperlink"/>
                  <w:b/>
                  <w:sz w:val="20"/>
                  <w:szCs w:val="20"/>
                </w:rPr>
                <w:t>1</w:t>
              </w:r>
            </w:hyperlink>
          </w:p>
        </w:tc>
        <w:tc>
          <w:tcPr>
            <w:tcW w:w="6060" w:type="dxa"/>
            <w:tcMar>
              <w:top w:w="60" w:type="dxa"/>
              <w:left w:w="120" w:type="dxa"/>
              <w:bottom w:w="60" w:type="dxa"/>
              <w:right w:w="120" w:type="dxa"/>
            </w:tcMar>
          </w:tcPr>
          <w:p w14:paraId="7E5B8474" w14:textId="77777777" w:rsidR="00993A47" w:rsidRDefault="00000000" w:rsidP="00467817">
            <w:r>
              <w:rPr>
                <w:sz w:val="20"/>
                <w:szCs w:val="20"/>
              </w:rPr>
              <w:t>Educational methods or evaluation</w:t>
            </w:r>
          </w:p>
        </w:tc>
        <w:tc>
          <w:tcPr>
            <w:tcW w:w="1800" w:type="dxa"/>
            <w:tcMar>
              <w:top w:w="60" w:type="dxa"/>
              <w:left w:w="120" w:type="dxa"/>
              <w:bottom w:w="60" w:type="dxa"/>
              <w:right w:w="120" w:type="dxa"/>
            </w:tcMar>
          </w:tcPr>
          <w:p w14:paraId="17F55393" w14:textId="77777777" w:rsidR="00993A47" w:rsidRDefault="00000000" w:rsidP="00467817">
            <w:pPr>
              <w:jc w:val="center"/>
            </w:pPr>
            <w:r>
              <w:rPr>
                <w:sz w:val="20"/>
                <w:szCs w:val="20"/>
              </w:rPr>
              <w:t xml:space="preserve"> </w:t>
            </w:r>
          </w:p>
        </w:tc>
      </w:tr>
      <w:tr w:rsidR="00993A47" w14:paraId="47F0B8CE" w14:textId="77777777">
        <w:tc>
          <w:tcPr>
            <w:tcW w:w="1500" w:type="dxa"/>
            <w:shd w:val="clear" w:color="auto" w:fill="F2F2F2"/>
            <w:tcMar>
              <w:top w:w="60" w:type="dxa"/>
              <w:left w:w="120" w:type="dxa"/>
              <w:bottom w:w="60" w:type="dxa"/>
              <w:right w:w="120" w:type="dxa"/>
            </w:tcMar>
          </w:tcPr>
          <w:p w14:paraId="79AF0203" w14:textId="1BB6B3D9" w:rsidR="00993A47" w:rsidRDefault="00000000" w:rsidP="00467817">
            <w:pPr>
              <w:jc w:val="center"/>
            </w:pPr>
            <w:hyperlink w:anchor="_Category_2_—" w:history="1">
              <w:r w:rsidR="00467817" w:rsidRPr="00467817">
                <w:rPr>
                  <w:rStyle w:val="Hyperlink"/>
                  <w:b/>
                  <w:sz w:val="20"/>
                  <w:szCs w:val="20"/>
                </w:rPr>
                <w:t>2</w:t>
              </w:r>
            </w:hyperlink>
          </w:p>
        </w:tc>
        <w:tc>
          <w:tcPr>
            <w:tcW w:w="6060" w:type="dxa"/>
            <w:shd w:val="clear" w:color="auto" w:fill="F2F2F2"/>
            <w:tcMar>
              <w:top w:w="60" w:type="dxa"/>
              <w:left w:w="120" w:type="dxa"/>
              <w:bottom w:w="60" w:type="dxa"/>
              <w:right w:w="120" w:type="dxa"/>
            </w:tcMar>
          </w:tcPr>
          <w:p w14:paraId="49ED13D1" w14:textId="77777777" w:rsidR="00993A47" w:rsidRDefault="00000000" w:rsidP="00467817">
            <w:r>
              <w:rPr>
                <w:sz w:val="20"/>
                <w:szCs w:val="20"/>
              </w:rPr>
              <w:t>Surveys, interviews, observation, educational tests</w:t>
            </w:r>
          </w:p>
        </w:tc>
        <w:tc>
          <w:tcPr>
            <w:tcW w:w="1800" w:type="dxa"/>
            <w:shd w:val="clear" w:color="auto" w:fill="F2F2F2"/>
            <w:tcMar>
              <w:top w:w="60" w:type="dxa"/>
              <w:left w:w="120" w:type="dxa"/>
              <w:bottom w:w="60" w:type="dxa"/>
              <w:right w:w="120" w:type="dxa"/>
            </w:tcMar>
          </w:tcPr>
          <w:p w14:paraId="271E13F7" w14:textId="77777777" w:rsidR="00993A47" w:rsidRDefault="00000000" w:rsidP="00467817">
            <w:pPr>
              <w:jc w:val="center"/>
            </w:pPr>
            <w:r>
              <w:rPr>
                <w:sz w:val="20"/>
                <w:szCs w:val="20"/>
              </w:rPr>
              <w:t xml:space="preserve"> </w:t>
            </w:r>
          </w:p>
        </w:tc>
      </w:tr>
      <w:tr w:rsidR="00993A47" w14:paraId="35977309" w14:textId="77777777">
        <w:tc>
          <w:tcPr>
            <w:tcW w:w="1500" w:type="dxa"/>
            <w:tcMar>
              <w:top w:w="60" w:type="dxa"/>
              <w:left w:w="120" w:type="dxa"/>
              <w:bottom w:w="60" w:type="dxa"/>
              <w:right w:w="120" w:type="dxa"/>
            </w:tcMar>
          </w:tcPr>
          <w:p w14:paraId="78EE9B03" w14:textId="2036514A" w:rsidR="00993A47" w:rsidRDefault="00000000" w:rsidP="00467817">
            <w:pPr>
              <w:jc w:val="center"/>
            </w:pPr>
            <w:hyperlink w:anchor="_Category_3_—" w:history="1">
              <w:r w:rsidR="00467817" w:rsidRPr="00467817">
                <w:rPr>
                  <w:rStyle w:val="Hyperlink"/>
                  <w:b/>
                  <w:sz w:val="20"/>
                  <w:szCs w:val="20"/>
                </w:rPr>
                <w:t>3</w:t>
              </w:r>
            </w:hyperlink>
          </w:p>
        </w:tc>
        <w:tc>
          <w:tcPr>
            <w:tcW w:w="6060" w:type="dxa"/>
            <w:tcMar>
              <w:top w:w="60" w:type="dxa"/>
              <w:left w:w="120" w:type="dxa"/>
              <w:bottom w:w="60" w:type="dxa"/>
              <w:right w:w="120" w:type="dxa"/>
            </w:tcMar>
          </w:tcPr>
          <w:p w14:paraId="74BDBCAB" w14:textId="77777777" w:rsidR="00993A47" w:rsidRDefault="00000000" w:rsidP="00467817">
            <w:r>
              <w:rPr>
                <w:sz w:val="20"/>
                <w:szCs w:val="20"/>
              </w:rPr>
              <w:t>Benign behavioral interventions (adults only)</w:t>
            </w:r>
          </w:p>
        </w:tc>
        <w:tc>
          <w:tcPr>
            <w:tcW w:w="1800" w:type="dxa"/>
            <w:tcMar>
              <w:top w:w="60" w:type="dxa"/>
              <w:left w:w="120" w:type="dxa"/>
              <w:bottom w:w="60" w:type="dxa"/>
              <w:right w:w="120" w:type="dxa"/>
            </w:tcMar>
          </w:tcPr>
          <w:p w14:paraId="2DFBF29E" w14:textId="77777777" w:rsidR="00993A47" w:rsidRDefault="00000000" w:rsidP="00467817">
            <w:pPr>
              <w:jc w:val="center"/>
            </w:pPr>
            <w:r>
              <w:rPr>
                <w:sz w:val="20"/>
                <w:szCs w:val="20"/>
              </w:rPr>
              <w:t xml:space="preserve"> </w:t>
            </w:r>
          </w:p>
        </w:tc>
      </w:tr>
      <w:tr w:rsidR="00993A47" w14:paraId="6CBB7D5A" w14:textId="77777777">
        <w:tc>
          <w:tcPr>
            <w:tcW w:w="1500" w:type="dxa"/>
            <w:shd w:val="clear" w:color="auto" w:fill="F2F2F2"/>
            <w:tcMar>
              <w:top w:w="60" w:type="dxa"/>
              <w:left w:w="120" w:type="dxa"/>
              <w:bottom w:w="60" w:type="dxa"/>
              <w:right w:w="120" w:type="dxa"/>
            </w:tcMar>
          </w:tcPr>
          <w:p w14:paraId="0E24FFBB" w14:textId="554DA12E" w:rsidR="00993A47" w:rsidRDefault="00000000" w:rsidP="00467817">
            <w:pPr>
              <w:jc w:val="center"/>
            </w:pPr>
            <w:hyperlink w:anchor="_Category_4_—" w:history="1">
              <w:r w:rsidR="00467817" w:rsidRPr="00467817">
                <w:rPr>
                  <w:rStyle w:val="Hyperlink"/>
                  <w:b/>
                  <w:sz w:val="20"/>
                  <w:szCs w:val="20"/>
                </w:rPr>
                <w:t>4</w:t>
              </w:r>
            </w:hyperlink>
          </w:p>
        </w:tc>
        <w:tc>
          <w:tcPr>
            <w:tcW w:w="6060" w:type="dxa"/>
            <w:shd w:val="clear" w:color="auto" w:fill="F2F2F2"/>
            <w:tcMar>
              <w:top w:w="60" w:type="dxa"/>
              <w:left w:w="120" w:type="dxa"/>
              <w:bottom w:w="60" w:type="dxa"/>
              <w:right w:w="120" w:type="dxa"/>
            </w:tcMar>
          </w:tcPr>
          <w:p w14:paraId="3C736C25" w14:textId="77777777" w:rsidR="00993A47" w:rsidRDefault="00000000" w:rsidP="00467817">
            <w:r>
              <w:rPr>
                <w:sz w:val="20"/>
                <w:szCs w:val="20"/>
              </w:rPr>
              <w:t>Secondary research (existing data/biospecimens)</w:t>
            </w:r>
          </w:p>
        </w:tc>
        <w:tc>
          <w:tcPr>
            <w:tcW w:w="1800" w:type="dxa"/>
            <w:shd w:val="clear" w:color="auto" w:fill="F2F2F2"/>
            <w:tcMar>
              <w:top w:w="60" w:type="dxa"/>
              <w:left w:w="120" w:type="dxa"/>
              <w:bottom w:w="60" w:type="dxa"/>
              <w:right w:w="120" w:type="dxa"/>
            </w:tcMar>
          </w:tcPr>
          <w:p w14:paraId="33089EA9" w14:textId="77777777" w:rsidR="00993A47" w:rsidRDefault="00000000" w:rsidP="00467817">
            <w:pPr>
              <w:jc w:val="center"/>
            </w:pPr>
            <w:r>
              <w:rPr>
                <w:sz w:val="20"/>
                <w:szCs w:val="20"/>
              </w:rPr>
              <w:t xml:space="preserve"> </w:t>
            </w:r>
          </w:p>
        </w:tc>
      </w:tr>
      <w:tr w:rsidR="00993A47" w14:paraId="73C1DEE1" w14:textId="77777777">
        <w:tc>
          <w:tcPr>
            <w:tcW w:w="1500" w:type="dxa"/>
            <w:tcMar>
              <w:top w:w="60" w:type="dxa"/>
              <w:left w:w="120" w:type="dxa"/>
              <w:bottom w:w="60" w:type="dxa"/>
              <w:right w:w="120" w:type="dxa"/>
            </w:tcMar>
          </w:tcPr>
          <w:p w14:paraId="6FC4DC3B" w14:textId="0AA63760" w:rsidR="00993A47" w:rsidRDefault="00000000" w:rsidP="00467817">
            <w:pPr>
              <w:jc w:val="center"/>
            </w:pPr>
            <w:hyperlink w:anchor="_Categories_5–8:_Less" w:history="1">
              <w:r w:rsidR="00467817" w:rsidRPr="00467817">
                <w:rPr>
                  <w:rStyle w:val="Hyperlink"/>
                  <w:b/>
                  <w:sz w:val="20"/>
                  <w:szCs w:val="20"/>
                </w:rPr>
                <w:t>5</w:t>
              </w:r>
            </w:hyperlink>
          </w:p>
        </w:tc>
        <w:tc>
          <w:tcPr>
            <w:tcW w:w="6060" w:type="dxa"/>
            <w:tcMar>
              <w:top w:w="60" w:type="dxa"/>
              <w:left w:w="120" w:type="dxa"/>
              <w:bottom w:w="60" w:type="dxa"/>
              <w:right w:w="120" w:type="dxa"/>
            </w:tcMar>
          </w:tcPr>
          <w:p w14:paraId="6E41AAE8" w14:textId="77777777" w:rsidR="00993A47" w:rsidRDefault="00000000" w:rsidP="00467817">
            <w:r>
              <w:rPr>
                <w:sz w:val="20"/>
                <w:szCs w:val="20"/>
              </w:rPr>
              <w:t>Public benefit or service programs</w:t>
            </w:r>
          </w:p>
        </w:tc>
        <w:tc>
          <w:tcPr>
            <w:tcW w:w="1800" w:type="dxa"/>
            <w:tcMar>
              <w:top w:w="60" w:type="dxa"/>
              <w:left w:w="120" w:type="dxa"/>
              <w:bottom w:w="60" w:type="dxa"/>
              <w:right w:w="120" w:type="dxa"/>
            </w:tcMar>
          </w:tcPr>
          <w:p w14:paraId="684680A3" w14:textId="77777777" w:rsidR="00993A47" w:rsidRDefault="00000000" w:rsidP="00467817">
            <w:pPr>
              <w:jc w:val="center"/>
            </w:pPr>
            <w:r>
              <w:rPr>
                <w:sz w:val="20"/>
                <w:szCs w:val="20"/>
              </w:rPr>
              <w:t xml:space="preserve"> </w:t>
            </w:r>
          </w:p>
        </w:tc>
      </w:tr>
      <w:tr w:rsidR="00993A47" w14:paraId="0D2CDA58" w14:textId="77777777">
        <w:tc>
          <w:tcPr>
            <w:tcW w:w="1500" w:type="dxa"/>
            <w:shd w:val="clear" w:color="auto" w:fill="F2F2F2"/>
            <w:tcMar>
              <w:top w:w="60" w:type="dxa"/>
              <w:left w:w="120" w:type="dxa"/>
              <w:bottom w:w="60" w:type="dxa"/>
              <w:right w:w="120" w:type="dxa"/>
            </w:tcMar>
          </w:tcPr>
          <w:p w14:paraId="6F904CA1" w14:textId="313AC2B8" w:rsidR="00993A47" w:rsidRDefault="00000000" w:rsidP="00467817">
            <w:pPr>
              <w:jc w:val="center"/>
            </w:pPr>
            <w:hyperlink w:anchor="_Categories_5–8:_Less" w:history="1">
              <w:r w:rsidR="00467817" w:rsidRPr="00467817">
                <w:rPr>
                  <w:rStyle w:val="Hyperlink"/>
                  <w:b/>
                  <w:sz w:val="20"/>
                  <w:szCs w:val="20"/>
                </w:rPr>
                <w:t>6</w:t>
              </w:r>
            </w:hyperlink>
          </w:p>
        </w:tc>
        <w:tc>
          <w:tcPr>
            <w:tcW w:w="6060" w:type="dxa"/>
            <w:shd w:val="clear" w:color="auto" w:fill="F2F2F2"/>
            <w:tcMar>
              <w:top w:w="60" w:type="dxa"/>
              <w:left w:w="120" w:type="dxa"/>
              <w:bottom w:w="60" w:type="dxa"/>
              <w:right w:w="120" w:type="dxa"/>
            </w:tcMar>
          </w:tcPr>
          <w:p w14:paraId="0DD8B61A" w14:textId="77777777" w:rsidR="00993A47" w:rsidRDefault="00000000" w:rsidP="00467817">
            <w:r>
              <w:rPr>
                <w:sz w:val="20"/>
                <w:szCs w:val="20"/>
              </w:rPr>
              <w:t>Taste and food quality</w:t>
            </w:r>
          </w:p>
        </w:tc>
        <w:tc>
          <w:tcPr>
            <w:tcW w:w="1800" w:type="dxa"/>
            <w:shd w:val="clear" w:color="auto" w:fill="F2F2F2"/>
            <w:tcMar>
              <w:top w:w="60" w:type="dxa"/>
              <w:left w:w="120" w:type="dxa"/>
              <w:bottom w:w="60" w:type="dxa"/>
              <w:right w:w="120" w:type="dxa"/>
            </w:tcMar>
          </w:tcPr>
          <w:p w14:paraId="4DCEAF6D" w14:textId="77777777" w:rsidR="00993A47" w:rsidRDefault="00000000" w:rsidP="00467817">
            <w:pPr>
              <w:jc w:val="center"/>
            </w:pPr>
            <w:r>
              <w:rPr>
                <w:sz w:val="20"/>
                <w:szCs w:val="20"/>
              </w:rPr>
              <w:t xml:space="preserve"> </w:t>
            </w:r>
          </w:p>
        </w:tc>
      </w:tr>
      <w:tr w:rsidR="00993A47" w14:paraId="2C867AD9" w14:textId="77777777">
        <w:tc>
          <w:tcPr>
            <w:tcW w:w="1500" w:type="dxa"/>
            <w:tcMar>
              <w:top w:w="60" w:type="dxa"/>
              <w:left w:w="120" w:type="dxa"/>
              <w:bottom w:w="60" w:type="dxa"/>
              <w:right w:w="120" w:type="dxa"/>
            </w:tcMar>
          </w:tcPr>
          <w:p w14:paraId="0CC10B1C" w14:textId="4E9620E5" w:rsidR="00993A47" w:rsidRDefault="00000000" w:rsidP="00467817">
            <w:pPr>
              <w:jc w:val="center"/>
            </w:pPr>
            <w:hyperlink w:anchor="_Categories_5–8:_Less" w:history="1">
              <w:r w:rsidR="00467817" w:rsidRPr="00467817">
                <w:rPr>
                  <w:rStyle w:val="Hyperlink"/>
                  <w:b/>
                  <w:sz w:val="20"/>
                  <w:szCs w:val="20"/>
                </w:rPr>
                <w:t>7</w:t>
              </w:r>
            </w:hyperlink>
          </w:p>
        </w:tc>
        <w:tc>
          <w:tcPr>
            <w:tcW w:w="6060" w:type="dxa"/>
            <w:tcMar>
              <w:top w:w="60" w:type="dxa"/>
              <w:left w:w="120" w:type="dxa"/>
              <w:bottom w:w="60" w:type="dxa"/>
              <w:right w:w="120" w:type="dxa"/>
            </w:tcMar>
          </w:tcPr>
          <w:p w14:paraId="64D3D9EE" w14:textId="77777777" w:rsidR="00993A47" w:rsidRDefault="00000000" w:rsidP="00467817">
            <w:r>
              <w:rPr>
                <w:sz w:val="20"/>
                <w:szCs w:val="20"/>
              </w:rPr>
              <w:t>Storage of data/biospecimens for future research</w:t>
            </w:r>
          </w:p>
        </w:tc>
        <w:tc>
          <w:tcPr>
            <w:tcW w:w="1800" w:type="dxa"/>
            <w:tcMar>
              <w:top w:w="60" w:type="dxa"/>
              <w:left w:w="120" w:type="dxa"/>
              <w:bottom w:w="60" w:type="dxa"/>
              <w:right w:w="120" w:type="dxa"/>
            </w:tcMar>
          </w:tcPr>
          <w:p w14:paraId="2E5C7879" w14:textId="77777777" w:rsidR="00993A47" w:rsidRDefault="00000000" w:rsidP="00467817">
            <w:pPr>
              <w:jc w:val="center"/>
            </w:pPr>
            <w:r>
              <w:rPr>
                <w:sz w:val="20"/>
                <w:szCs w:val="20"/>
              </w:rPr>
              <w:t xml:space="preserve"> </w:t>
            </w:r>
          </w:p>
        </w:tc>
      </w:tr>
      <w:tr w:rsidR="00993A47" w14:paraId="7FF1E671" w14:textId="77777777">
        <w:tc>
          <w:tcPr>
            <w:tcW w:w="1500" w:type="dxa"/>
            <w:shd w:val="clear" w:color="auto" w:fill="F2F2F2"/>
            <w:tcMar>
              <w:top w:w="60" w:type="dxa"/>
              <w:left w:w="120" w:type="dxa"/>
              <w:bottom w:w="60" w:type="dxa"/>
              <w:right w:w="120" w:type="dxa"/>
            </w:tcMar>
          </w:tcPr>
          <w:p w14:paraId="3E2395D9" w14:textId="76ACDDFD" w:rsidR="00993A47" w:rsidRDefault="00000000" w:rsidP="00467817">
            <w:pPr>
              <w:jc w:val="center"/>
            </w:pPr>
            <w:hyperlink w:anchor="_Categories_5–8:_Less" w:history="1">
              <w:r w:rsidR="00467817" w:rsidRPr="00467817">
                <w:rPr>
                  <w:rStyle w:val="Hyperlink"/>
                  <w:b/>
                  <w:sz w:val="20"/>
                  <w:szCs w:val="20"/>
                </w:rPr>
                <w:t>8</w:t>
              </w:r>
            </w:hyperlink>
          </w:p>
        </w:tc>
        <w:tc>
          <w:tcPr>
            <w:tcW w:w="6060" w:type="dxa"/>
            <w:shd w:val="clear" w:color="auto" w:fill="F2F2F2"/>
            <w:tcMar>
              <w:top w:w="60" w:type="dxa"/>
              <w:left w:w="120" w:type="dxa"/>
              <w:bottom w:w="60" w:type="dxa"/>
              <w:right w:w="120" w:type="dxa"/>
            </w:tcMar>
          </w:tcPr>
          <w:p w14:paraId="76387674" w14:textId="77777777" w:rsidR="00993A47" w:rsidRDefault="00000000" w:rsidP="00467817">
            <w:r>
              <w:rPr>
                <w:sz w:val="20"/>
                <w:szCs w:val="20"/>
              </w:rPr>
              <w:t>Secondary use of stored data/biospecimens (broad consent)</w:t>
            </w:r>
          </w:p>
        </w:tc>
        <w:tc>
          <w:tcPr>
            <w:tcW w:w="1800" w:type="dxa"/>
            <w:shd w:val="clear" w:color="auto" w:fill="F2F2F2"/>
            <w:tcMar>
              <w:top w:w="60" w:type="dxa"/>
              <w:left w:w="120" w:type="dxa"/>
              <w:bottom w:w="60" w:type="dxa"/>
              <w:right w:w="120" w:type="dxa"/>
            </w:tcMar>
          </w:tcPr>
          <w:p w14:paraId="6F252B10" w14:textId="77777777" w:rsidR="00993A47" w:rsidRDefault="00000000" w:rsidP="00467817">
            <w:pPr>
              <w:jc w:val="center"/>
            </w:pPr>
            <w:r>
              <w:rPr>
                <w:sz w:val="20"/>
                <w:szCs w:val="20"/>
              </w:rPr>
              <w:t xml:space="preserve"> </w:t>
            </w:r>
          </w:p>
        </w:tc>
      </w:tr>
    </w:tbl>
    <w:p w14:paraId="7E2270F6" w14:textId="2D1A5F47" w:rsidR="00993A47" w:rsidRDefault="00000000" w:rsidP="00467817">
      <w:pPr>
        <w:spacing w:before="80" w:after="80"/>
      </w:pPr>
      <w:r>
        <w:rPr>
          <w:i/>
        </w:rPr>
        <w:t>Most Earlham research projects fall under Category 2 (surveys, interviews, and observation)</w:t>
      </w:r>
      <w:r w:rsidR="00C66CD3">
        <w:rPr>
          <w:i/>
        </w:rPr>
        <w:t xml:space="preserve"> and Category 3 (benign behavioral intervention)</w:t>
      </w:r>
      <w:r>
        <w:rPr>
          <w:i/>
        </w:rPr>
        <w:t>. Categories 5 through 8 apply in more specialized circumstances; if you are unsure whether they apply to your project, you may answer “No” and move on.</w:t>
      </w:r>
    </w:p>
    <w:p w14:paraId="0A548D93" w14:textId="77777777" w:rsidR="00993A47" w:rsidRDefault="00000000">
      <w:pPr>
        <w:pStyle w:val="Heading2"/>
      </w:pPr>
      <w:bookmarkStart w:id="0" w:name="_Category_1_—"/>
      <w:bookmarkEnd w:id="0"/>
      <w:r>
        <w:t>Category 1 — Educational Methods or Evaluation</w:t>
      </w:r>
    </w:p>
    <w:p w14:paraId="68C7EBC9" w14:textId="77777777" w:rsidR="00993A47" w:rsidRDefault="00000000" w:rsidP="00467817">
      <w:pPr>
        <w:spacing w:before="80" w:after="80"/>
        <w:ind w:left="360"/>
      </w:pPr>
      <w:r>
        <w:t>Research conducted in established or commonly accepted educational settings that specifically involves normal educational practices, such as research on regular and special education instructional strategies, or research on the effectiveness of or comparison among instructional techniques, curricula, or classroom management methods.</w:t>
      </w:r>
    </w:p>
    <w:p w14:paraId="0E0A7959" w14:textId="77777777" w:rsidR="00993A47" w:rsidRDefault="00000000" w:rsidP="00467817">
      <w:pPr>
        <w:spacing w:before="60" w:after="100"/>
        <w:ind w:left="360"/>
      </w:pPr>
      <w:r>
        <w:rPr>
          <w:i/>
        </w:rPr>
        <w:t xml:space="preserve">If “yes,” explain: </w:t>
      </w:r>
      <w:r>
        <w:rPr>
          <w:color w:val="8A1B3F"/>
        </w:rPr>
        <w:t>Response required if “yes”.</w:t>
      </w:r>
    </w:p>
    <w:p w14:paraId="42DDF119" w14:textId="77777777" w:rsidR="00993A47" w:rsidRDefault="00000000">
      <w:pPr>
        <w:pStyle w:val="Heading2"/>
      </w:pPr>
      <w:bookmarkStart w:id="1" w:name="_Category_2_—"/>
      <w:bookmarkEnd w:id="1"/>
      <w:r>
        <w:lastRenderedPageBreak/>
        <w:t>Category 2 — Surveys, Interviews, Observation, and Educational Tests</w:t>
      </w:r>
    </w:p>
    <w:p w14:paraId="57771489" w14:textId="77777777" w:rsidR="00993A47" w:rsidRDefault="00000000" w:rsidP="00467817">
      <w:pPr>
        <w:spacing w:before="80" w:after="80"/>
        <w:ind w:left="360"/>
      </w:pPr>
      <w:r>
        <w:t>Research that only includes interactions involving the use of educational tests (cognitive, diagnostic, aptitude, achievement), survey procedures, interview procedures (including oral history), or observation of public behavior, if at least one of the following applies:</w:t>
      </w:r>
    </w:p>
    <w:p w14:paraId="0E5BBE6A" w14:textId="77777777" w:rsidR="00993A47" w:rsidRDefault="00000000" w:rsidP="00467817">
      <w:pPr>
        <w:spacing w:before="40" w:after="20"/>
        <w:ind w:left="360"/>
      </w:pPr>
      <w:r>
        <w:t>(</w:t>
      </w:r>
      <w:proofErr w:type="spellStart"/>
      <w:r>
        <w:t>i</w:t>
      </w:r>
      <w:proofErr w:type="spellEnd"/>
      <w:r>
        <w:t>) The information obtained is recorded in such a manner that the identity of participants cannot readily be ascertained, directly or through identifiers linked to the participants.</w:t>
      </w:r>
    </w:p>
    <w:p w14:paraId="70A49889" w14:textId="77777777" w:rsidR="00993A47" w:rsidRDefault="00000000" w:rsidP="00467817">
      <w:pPr>
        <w:spacing w:after="40"/>
        <w:ind w:left="360"/>
      </w:pPr>
      <w:r>
        <w:rPr>
          <w:i/>
          <w:sz w:val="20"/>
          <w:szCs w:val="20"/>
        </w:rPr>
        <w:t>In other words, responses are anonymous — there is no way to connect a response back to the person who provided it.</w:t>
      </w:r>
    </w:p>
    <w:p w14:paraId="757CAA2A" w14:textId="77777777" w:rsidR="00993A47" w:rsidRDefault="00000000" w:rsidP="00467817">
      <w:pPr>
        <w:spacing w:before="40" w:after="20"/>
        <w:ind w:left="360"/>
      </w:pPr>
      <w:r>
        <w:t>(ii) Any disclosure of the participants’ responses outside the research would not reasonably place the participants at risk of criminal or civil liability or be damaging to the participants’ financial standing, employability, educational advancement, or reputation.</w:t>
      </w:r>
    </w:p>
    <w:p w14:paraId="4A990AC3" w14:textId="77777777" w:rsidR="00993A47" w:rsidRDefault="00000000" w:rsidP="00467817">
      <w:pPr>
        <w:spacing w:after="40"/>
        <w:ind w:left="360"/>
      </w:pPr>
      <w:r>
        <w:rPr>
          <w:i/>
          <w:sz w:val="20"/>
          <w:szCs w:val="20"/>
        </w:rPr>
        <w:t>In other words, even if someone’s identity were accidentally revealed, there would be no meaningful negative consequences for them.</w:t>
      </w:r>
    </w:p>
    <w:p w14:paraId="6C3EBE44" w14:textId="77777777" w:rsidR="00993A47" w:rsidRDefault="00000000" w:rsidP="00467817">
      <w:pPr>
        <w:spacing w:before="40" w:after="20"/>
        <w:ind w:left="360"/>
      </w:pPr>
      <w:r>
        <w:t>(iii) The information obtained is recorded in a manner that the identity of participants can readily be ascertained, and an IRB conducts a limited IRB review to ensure adequate privacy and confidentiality protections are in place.</w:t>
      </w:r>
    </w:p>
    <w:p w14:paraId="3E163854" w14:textId="77777777" w:rsidR="00993A47" w:rsidRDefault="00000000" w:rsidP="00467817">
      <w:pPr>
        <w:spacing w:after="40"/>
        <w:ind w:left="360"/>
      </w:pPr>
      <w:r>
        <w:rPr>
          <w:i/>
          <w:sz w:val="20"/>
          <w:szCs w:val="20"/>
        </w:rPr>
        <w:t>In other words, responses are identifiable, but the IRB will verify that you have adequate safeguards. If you select this sub-condition, you must complete Section F below.</w:t>
      </w:r>
    </w:p>
    <w:p w14:paraId="2A20CCF4" w14:textId="77777777" w:rsidR="00993A47" w:rsidRDefault="00000000" w:rsidP="00467817">
      <w:pPr>
        <w:spacing w:before="60" w:after="100"/>
        <w:ind w:left="360"/>
      </w:pPr>
      <w:r>
        <w:rPr>
          <w:i/>
        </w:rPr>
        <w:t>If “yes,” indicate which sub-condition (</w:t>
      </w:r>
      <w:proofErr w:type="spellStart"/>
      <w:r>
        <w:rPr>
          <w:i/>
        </w:rPr>
        <w:t>i</w:t>
      </w:r>
      <w:proofErr w:type="spellEnd"/>
      <w:r>
        <w:rPr>
          <w:i/>
        </w:rPr>
        <w:t xml:space="preserve">, ii, or iii) applies and explain: </w:t>
      </w:r>
      <w:r>
        <w:rPr>
          <w:color w:val="8A1B3F"/>
        </w:rPr>
        <w:t>Response required if “yes”.</w:t>
      </w:r>
    </w:p>
    <w:p w14:paraId="476381FC" w14:textId="77777777" w:rsidR="00993A47" w:rsidRDefault="00000000">
      <w:pPr>
        <w:pStyle w:val="Heading2"/>
      </w:pPr>
      <w:bookmarkStart w:id="2" w:name="_Category_3_—"/>
      <w:bookmarkEnd w:id="2"/>
      <w:r>
        <w:t>Category 3 — Benign Behavioral Interventions</w:t>
      </w:r>
    </w:p>
    <w:p w14:paraId="4F7E761D" w14:textId="77777777" w:rsidR="00993A47" w:rsidRDefault="00000000" w:rsidP="00467817">
      <w:pPr>
        <w:spacing w:before="80" w:after="80"/>
        <w:ind w:left="360"/>
      </w:pPr>
      <w:r>
        <w:t>Research involving benign behavioral interventions paired with information collection from an adult subject who prospectively agrees to the intervention and information collection. Benign behavioral interventions are brief in duration, harmless, painless, not physically invasive, not likely to have a significant adverse lasting impact on the subjects, and the investigator has no reason to think subjects will find the interventions offensive or embarrassing. This category is limited to adult participants.</w:t>
      </w:r>
    </w:p>
    <w:p w14:paraId="41862102" w14:textId="77777777" w:rsidR="00993A47" w:rsidRDefault="00000000" w:rsidP="00467817">
      <w:pPr>
        <w:spacing w:before="80" w:after="80"/>
        <w:ind w:left="360"/>
      </w:pPr>
      <w:r>
        <w:rPr>
          <w:i/>
        </w:rPr>
        <w:t>Note: While federal regulations permit exemption for some research involving deception, Earlham College’s IRB requires that any research involving deception beyond withholding the hypothesis undergo expedited review. If your study involves deception, please submit an Expedited Review Application instead.</w:t>
      </w:r>
    </w:p>
    <w:p w14:paraId="51AD27D6" w14:textId="77777777" w:rsidR="00993A47" w:rsidRDefault="00000000" w:rsidP="00467817">
      <w:pPr>
        <w:spacing w:before="80" w:after="80"/>
        <w:ind w:left="360"/>
      </w:pPr>
      <w:r>
        <w:t>This exemption applies if at least one of the following applies:</w:t>
      </w:r>
    </w:p>
    <w:p w14:paraId="7ADE1BF9" w14:textId="77777777" w:rsidR="00993A47" w:rsidRDefault="00000000" w:rsidP="00467817">
      <w:pPr>
        <w:spacing w:before="40" w:after="20"/>
        <w:ind w:left="360"/>
      </w:pPr>
      <w:r>
        <w:t>(</w:t>
      </w:r>
      <w:proofErr w:type="spellStart"/>
      <w:r>
        <w:t>i</w:t>
      </w:r>
      <w:proofErr w:type="spellEnd"/>
      <w:r>
        <w:t>) The information obtained is recorded in such a manner that the identity of participants cannot readily be ascertained, directly or through identifiers linked to the participants.</w:t>
      </w:r>
    </w:p>
    <w:p w14:paraId="35E41A7D" w14:textId="77777777" w:rsidR="00993A47" w:rsidRDefault="00000000" w:rsidP="00467817">
      <w:pPr>
        <w:spacing w:after="40"/>
        <w:ind w:left="360"/>
      </w:pPr>
      <w:r>
        <w:rPr>
          <w:i/>
          <w:sz w:val="20"/>
          <w:szCs w:val="20"/>
        </w:rPr>
        <w:t>Responses are anonymous.</w:t>
      </w:r>
    </w:p>
    <w:p w14:paraId="0AD910FE" w14:textId="77777777" w:rsidR="00993A47" w:rsidRDefault="00000000" w:rsidP="00467817">
      <w:pPr>
        <w:spacing w:before="40" w:after="20"/>
        <w:ind w:left="360"/>
      </w:pPr>
      <w:r>
        <w:t>(ii) Any disclosure of the participants’ responses outside the research would not reasonably place the participants at risk of criminal or civil liability or be damaging to the participants’ financial standing, employability, educational advancement, or reputation.</w:t>
      </w:r>
    </w:p>
    <w:p w14:paraId="446DA31C" w14:textId="77777777" w:rsidR="00993A47" w:rsidRDefault="00000000" w:rsidP="00467817">
      <w:pPr>
        <w:spacing w:after="40"/>
        <w:ind w:left="360"/>
      </w:pPr>
      <w:r>
        <w:rPr>
          <w:i/>
          <w:sz w:val="20"/>
          <w:szCs w:val="20"/>
        </w:rPr>
        <w:t>Even if identity were revealed, there would be no meaningful negative consequences.</w:t>
      </w:r>
    </w:p>
    <w:p w14:paraId="3D1743E9" w14:textId="77777777" w:rsidR="00993A47" w:rsidRDefault="00000000" w:rsidP="00467817">
      <w:pPr>
        <w:spacing w:before="40" w:after="20"/>
        <w:ind w:left="360"/>
      </w:pPr>
      <w:r>
        <w:t>(iii) The information obtained is recorded in a manner that the identity of participants can readily be ascertained, and an IRB conducts a limited IRB review to ensure adequate privacy and confidentiality protections are in place.</w:t>
      </w:r>
    </w:p>
    <w:p w14:paraId="40951A36" w14:textId="77777777" w:rsidR="00993A47" w:rsidRDefault="00000000" w:rsidP="00467817">
      <w:pPr>
        <w:spacing w:after="40"/>
        <w:ind w:left="360"/>
      </w:pPr>
      <w:r>
        <w:rPr>
          <w:i/>
          <w:sz w:val="20"/>
          <w:szCs w:val="20"/>
        </w:rPr>
        <w:t>Responses are identifiable; you must complete Section F below.</w:t>
      </w:r>
    </w:p>
    <w:p w14:paraId="3B08A518" w14:textId="77777777" w:rsidR="00993A47" w:rsidRDefault="00000000" w:rsidP="00467817">
      <w:pPr>
        <w:spacing w:before="60" w:after="100"/>
        <w:ind w:left="360"/>
      </w:pPr>
      <w:r>
        <w:rPr>
          <w:i/>
        </w:rPr>
        <w:t>If “yes,” indicate which sub-condition (</w:t>
      </w:r>
      <w:proofErr w:type="spellStart"/>
      <w:r>
        <w:rPr>
          <w:i/>
        </w:rPr>
        <w:t>i</w:t>
      </w:r>
      <w:proofErr w:type="spellEnd"/>
      <w:r>
        <w:rPr>
          <w:i/>
        </w:rPr>
        <w:t xml:space="preserve">, ii, or iii) applies and explain: </w:t>
      </w:r>
      <w:r>
        <w:rPr>
          <w:color w:val="8A1B3F"/>
        </w:rPr>
        <w:t>Response required if “yes”.</w:t>
      </w:r>
    </w:p>
    <w:p w14:paraId="55B25193" w14:textId="77777777" w:rsidR="00993A47" w:rsidRDefault="00000000">
      <w:pPr>
        <w:pStyle w:val="Heading2"/>
      </w:pPr>
      <w:bookmarkStart w:id="3" w:name="_Category_4_—"/>
      <w:bookmarkEnd w:id="3"/>
      <w:r>
        <w:lastRenderedPageBreak/>
        <w:t>Category 4 — Secondary Research (Consent Not Required)</w:t>
      </w:r>
    </w:p>
    <w:p w14:paraId="34F055A9" w14:textId="77777777" w:rsidR="00993A47" w:rsidRDefault="00000000" w:rsidP="00467817">
      <w:pPr>
        <w:spacing w:before="80" w:after="80"/>
        <w:ind w:left="360"/>
      </w:pPr>
      <w:r>
        <w:t>Secondary research uses of identifiable private information or identifiable biospecimens, if at least one of the following criteria is met:</w:t>
      </w:r>
    </w:p>
    <w:p w14:paraId="03130565" w14:textId="77777777" w:rsidR="00993A47" w:rsidRDefault="00000000" w:rsidP="00467817">
      <w:pPr>
        <w:spacing w:before="40" w:after="40"/>
        <w:ind w:left="360"/>
      </w:pPr>
      <w:r>
        <w:t>(</w:t>
      </w:r>
      <w:proofErr w:type="spellStart"/>
      <w:r>
        <w:t>i</w:t>
      </w:r>
      <w:proofErr w:type="spellEnd"/>
      <w:r>
        <w:t>) The identifiable private information or identifiable biospecimens are publicly available.</w:t>
      </w:r>
    </w:p>
    <w:p w14:paraId="0BC2B4BC" w14:textId="77777777" w:rsidR="00993A47" w:rsidRDefault="00000000" w:rsidP="00467817">
      <w:pPr>
        <w:spacing w:before="40" w:after="40"/>
        <w:ind w:left="360"/>
      </w:pPr>
      <w:r>
        <w:t>(ii) Information (which may include information about biospecimens) is recorded by the investigator in such a manner that the identity of the human subjects cannot readily be ascertained directly or through identifiers linked to the subjects, the investigator does not contact the subjects, and the investigator will not re-identify subjects.</w:t>
      </w:r>
    </w:p>
    <w:p w14:paraId="4EF281D7" w14:textId="19C85123" w:rsidR="00993A47" w:rsidRDefault="00000000" w:rsidP="00467817">
      <w:pPr>
        <w:spacing w:before="40" w:after="40"/>
        <w:ind w:left="360"/>
      </w:pPr>
      <w:r>
        <w:t>(iii) The research involves only information collection and analysis involving the investigator’s use of identifiable health information regulated under HIPAA for the purposes of health care operations, research, or public health activities.</w:t>
      </w:r>
      <w:r>
        <w:rPr>
          <w:rStyle w:val="FootnoteReference"/>
        </w:rPr>
        <w:footnoteReference w:id="7"/>
      </w:r>
    </w:p>
    <w:p w14:paraId="486BE86D" w14:textId="77777777" w:rsidR="00993A47" w:rsidRDefault="00000000" w:rsidP="00467817">
      <w:pPr>
        <w:spacing w:before="40" w:after="40"/>
        <w:ind w:left="360"/>
      </w:pPr>
      <w:r>
        <w:t xml:space="preserve">(iv) The research is conducted by, or on behalf of, a federal department or agency using government-generated or government-collected information obtained for </w:t>
      </w:r>
      <w:proofErr w:type="spellStart"/>
      <w:r>
        <w:t>nonresearch</w:t>
      </w:r>
      <w:proofErr w:type="spellEnd"/>
      <w:r>
        <w:t xml:space="preserve"> activities.</w:t>
      </w:r>
    </w:p>
    <w:p w14:paraId="689BD664" w14:textId="77777777" w:rsidR="00993A47" w:rsidRDefault="00000000" w:rsidP="00467817">
      <w:pPr>
        <w:spacing w:before="60" w:after="100"/>
        <w:ind w:left="360"/>
      </w:pPr>
      <w:r>
        <w:rPr>
          <w:i/>
        </w:rPr>
        <w:t>If “yes,” indicate which sub-condition (</w:t>
      </w:r>
      <w:proofErr w:type="spellStart"/>
      <w:r>
        <w:rPr>
          <w:i/>
        </w:rPr>
        <w:t>i</w:t>
      </w:r>
      <w:proofErr w:type="spellEnd"/>
      <w:r>
        <w:rPr>
          <w:i/>
        </w:rPr>
        <w:t xml:space="preserve">, ii, iii, or iv) applies and explain: </w:t>
      </w:r>
      <w:r>
        <w:rPr>
          <w:color w:val="8A1B3F"/>
        </w:rPr>
        <w:t>Response required if “yes”.</w:t>
      </w:r>
    </w:p>
    <w:p w14:paraId="3D7CB4B0" w14:textId="77777777" w:rsidR="00993A47" w:rsidRDefault="00000000">
      <w:pPr>
        <w:pStyle w:val="Heading2"/>
      </w:pPr>
      <w:bookmarkStart w:id="4" w:name="_Categories_5–8:_Less"/>
      <w:bookmarkEnd w:id="4"/>
      <w:r>
        <w:t>Categories 5–8: Less Common Categories</w:t>
      </w:r>
    </w:p>
    <w:p w14:paraId="742C8F2A" w14:textId="77777777" w:rsidR="00993A47" w:rsidRDefault="00000000">
      <w:pPr>
        <w:spacing w:before="80" w:after="80"/>
      </w:pPr>
      <w:r>
        <w:rPr>
          <w:i/>
        </w:rPr>
        <w:t>The following categories apply in specialized circumstances. If you are unsure whether they apply, answer “No” for each.</w:t>
      </w:r>
    </w:p>
    <w:p w14:paraId="6C7D262E" w14:textId="77777777" w:rsidR="00993A47" w:rsidRDefault="00000000">
      <w:pPr>
        <w:spacing w:before="200" w:after="80"/>
      </w:pPr>
      <w:r>
        <w:rPr>
          <w:b/>
        </w:rPr>
        <w:t>Category 5 — Public Benefit or Service Programs</w:t>
      </w:r>
    </w:p>
    <w:p w14:paraId="182EB085" w14:textId="77777777" w:rsidR="00993A47" w:rsidRDefault="00000000" w:rsidP="00467817">
      <w:pPr>
        <w:spacing w:before="80" w:after="80"/>
        <w:ind w:left="360"/>
      </w:pPr>
      <w:r>
        <w:t>Research and demonstration projects that are conducted or supported by a federal department or agency, and are designed to study, evaluate, or otherwise examine public benefit or service programs (e.g., programs under the Social Security Act or other federal assistance programs), including procedures for obtaining benefits, possible changes to those programs or their procedures, or possible changes in methods or levels of payment for benefits or services under those programs.</w:t>
      </w:r>
    </w:p>
    <w:p w14:paraId="12616BF9" w14:textId="77777777" w:rsidR="00993A47" w:rsidRDefault="00000000" w:rsidP="00467817">
      <w:pPr>
        <w:spacing w:before="60" w:after="100"/>
        <w:ind w:left="360"/>
      </w:pPr>
      <w:r>
        <w:rPr>
          <w:i/>
        </w:rPr>
        <w:t xml:space="preserve">If “yes,” explain: </w:t>
      </w:r>
      <w:r>
        <w:rPr>
          <w:color w:val="8A1B3F"/>
        </w:rPr>
        <w:t>Response required if “yes”.</w:t>
      </w:r>
    </w:p>
    <w:p w14:paraId="3E77ED93" w14:textId="77777777" w:rsidR="00993A47" w:rsidRDefault="00000000">
      <w:pPr>
        <w:spacing w:before="200" w:after="80"/>
      </w:pPr>
      <w:r>
        <w:rPr>
          <w:b/>
        </w:rPr>
        <w:t>Category 6 — Taste and Food Quality</w:t>
      </w:r>
    </w:p>
    <w:p w14:paraId="19E1EA22" w14:textId="77777777" w:rsidR="00993A47" w:rsidRDefault="00000000" w:rsidP="00467817">
      <w:pPr>
        <w:spacing w:before="80" w:after="80"/>
        <w:ind w:left="360"/>
      </w:pPr>
      <w:r>
        <w:t>Research involves taste and food quality consumer acceptance using only wholesome food(s) which contain no ingredients at levels beyond those approved by the appropriate federal agency.</w:t>
      </w:r>
    </w:p>
    <w:p w14:paraId="4B20DF10" w14:textId="77777777" w:rsidR="00993A47" w:rsidRDefault="00000000" w:rsidP="00467817">
      <w:pPr>
        <w:spacing w:before="60" w:after="100"/>
        <w:ind w:left="360"/>
      </w:pPr>
      <w:r>
        <w:rPr>
          <w:i/>
        </w:rPr>
        <w:t xml:space="preserve">If “yes,” explain: </w:t>
      </w:r>
      <w:r>
        <w:rPr>
          <w:color w:val="8A1B3F"/>
        </w:rPr>
        <w:t>Response required if “yes”.</w:t>
      </w:r>
    </w:p>
    <w:p w14:paraId="471A3337" w14:textId="77777777" w:rsidR="00993A47" w:rsidRDefault="00000000">
      <w:pPr>
        <w:spacing w:before="200" w:after="80"/>
      </w:pPr>
      <w:r>
        <w:rPr>
          <w:b/>
        </w:rPr>
        <w:t>Category 7 — Storage or Maintenance of Data or Biospecimens for Secondary Research</w:t>
      </w:r>
    </w:p>
    <w:p w14:paraId="532BACFB" w14:textId="77777777" w:rsidR="00993A47" w:rsidRDefault="00000000" w:rsidP="00467817">
      <w:pPr>
        <w:spacing w:before="80" w:after="80"/>
        <w:ind w:left="360"/>
      </w:pPr>
      <w:r>
        <w:t>Storage or maintenance of identifiable private information or identifiable biospecimens for potential secondary research use, where broad consent is obtained.</w:t>
      </w:r>
      <w:r>
        <w:rPr>
          <w:rStyle w:val="FootnoteReference"/>
        </w:rPr>
        <w:footnoteReference w:id="8"/>
      </w:r>
      <w:r>
        <w:t xml:space="preserve"> Broad consent must cover the storage, maintenance, and secondary research use of the information or biospecimens.</w:t>
      </w:r>
    </w:p>
    <w:p w14:paraId="4D97F785" w14:textId="77777777" w:rsidR="00993A47" w:rsidRDefault="00000000" w:rsidP="00467817">
      <w:pPr>
        <w:spacing w:before="60" w:after="60"/>
        <w:ind w:left="360"/>
      </w:pPr>
      <w:r>
        <w:rPr>
          <w:i/>
          <w:sz w:val="20"/>
          <w:szCs w:val="20"/>
        </w:rPr>
        <w:t>Note: This category requires a limited IRB review.</w:t>
      </w:r>
      <w:r>
        <w:rPr>
          <w:rStyle w:val="FootnoteReference"/>
        </w:rPr>
        <w:footnoteReference w:id="9"/>
      </w:r>
      <w:r>
        <w:rPr>
          <w:i/>
          <w:sz w:val="20"/>
          <w:szCs w:val="20"/>
        </w:rPr>
        <w:t xml:space="preserve"> You must also complete Section F below.</w:t>
      </w:r>
    </w:p>
    <w:p w14:paraId="38889C06" w14:textId="77777777" w:rsidR="00993A47" w:rsidRDefault="00000000" w:rsidP="00467817">
      <w:pPr>
        <w:spacing w:before="60" w:after="100"/>
        <w:ind w:left="360"/>
      </w:pPr>
      <w:r>
        <w:rPr>
          <w:i/>
        </w:rPr>
        <w:lastRenderedPageBreak/>
        <w:t xml:space="preserve">If “yes,” explain: </w:t>
      </w:r>
      <w:r>
        <w:rPr>
          <w:color w:val="8A1B3F"/>
        </w:rPr>
        <w:t>Response required if “yes”.</w:t>
      </w:r>
    </w:p>
    <w:p w14:paraId="6BD676E2" w14:textId="77777777" w:rsidR="00993A47" w:rsidRDefault="00000000">
      <w:pPr>
        <w:spacing w:before="200" w:after="80"/>
      </w:pPr>
      <w:r>
        <w:rPr>
          <w:b/>
        </w:rPr>
        <w:t>Category 8 — Secondary Research Use of Stored Data/Biospecimens with Broad Consent</w:t>
      </w:r>
    </w:p>
    <w:p w14:paraId="1D9B9ABD" w14:textId="77777777" w:rsidR="00993A47" w:rsidRDefault="00000000" w:rsidP="00467817">
      <w:pPr>
        <w:spacing w:before="80" w:after="80"/>
        <w:ind w:left="360"/>
      </w:pPr>
      <w:r>
        <w:t>Secondary research use of identifiable private information or identifiable biospecimens where all of the following conditions are met:</w:t>
      </w:r>
    </w:p>
    <w:p w14:paraId="181C8CF9" w14:textId="481AD505" w:rsidR="00993A47" w:rsidRDefault="00000000" w:rsidP="00467817">
      <w:pPr>
        <w:spacing w:before="40" w:after="40"/>
        <w:ind w:left="360"/>
      </w:pPr>
      <w:r>
        <w:t>(</w:t>
      </w:r>
      <w:proofErr w:type="spellStart"/>
      <w:r>
        <w:t>i</w:t>
      </w:r>
      <w:proofErr w:type="spellEnd"/>
      <w:r>
        <w:t>) Broad consent for the storage, maintenance, and secondary research use was obtained.</w:t>
      </w:r>
    </w:p>
    <w:p w14:paraId="5FCFD745" w14:textId="486B0CCA" w:rsidR="00993A47" w:rsidRDefault="00000000" w:rsidP="00467817">
      <w:pPr>
        <w:spacing w:before="40" w:after="40"/>
        <w:ind w:left="360"/>
      </w:pPr>
      <w:r>
        <w:t>(ii) Documentation of informed consent was obtained.</w:t>
      </w:r>
    </w:p>
    <w:p w14:paraId="43825280" w14:textId="77777777" w:rsidR="00993A47" w:rsidRDefault="00000000" w:rsidP="00467817">
      <w:pPr>
        <w:spacing w:before="40" w:after="40"/>
        <w:ind w:left="360"/>
      </w:pPr>
      <w:r>
        <w:t>(iii) An IRB conducts a limited IRB review and determines that the proposed secondary research falls within the scope of the broad consent originally obtained.</w:t>
      </w:r>
    </w:p>
    <w:p w14:paraId="79A3C992" w14:textId="77777777" w:rsidR="00993A47" w:rsidRDefault="00000000" w:rsidP="00467817">
      <w:pPr>
        <w:spacing w:before="40" w:after="40"/>
        <w:ind w:left="360"/>
      </w:pPr>
      <w:r>
        <w:t>(iv) The investigator does not include returning individual research results to subjects as part of the study plan.</w:t>
      </w:r>
    </w:p>
    <w:p w14:paraId="1B78D469" w14:textId="77777777" w:rsidR="00993A47" w:rsidRDefault="00000000" w:rsidP="00467817">
      <w:pPr>
        <w:spacing w:before="60" w:after="60"/>
        <w:ind w:left="360"/>
      </w:pPr>
      <w:r>
        <w:rPr>
          <w:i/>
          <w:sz w:val="20"/>
          <w:szCs w:val="20"/>
        </w:rPr>
        <w:t>Note: This category requires a limited IRB review.</w:t>
      </w:r>
      <w:r>
        <w:rPr>
          <w:rStyle w:val="FootnoteReference"/>
        </w:rPr>
        <w:footnoteReference w:id="10"/>
      </w:r>
      <w:r>
        <w:rPr>
          <w:i/>
          <w:sz w:val="20"/>
          <w:szCs w:val="20"/>
        </w:rPr>
        <w:t xml:space="preserve"> You must also complete Section F below.</w:t>
      </w:r>
    </w:p>
    <w:p w14:paraId="228B8773" w14:textId="77777777" w:rsidR="00993A47" w:rsidRDefault="00000000" w:rsidP="00467817">
      <w:pPr>
        <w:spacing w:before="60" w:after="100"/>
        <w:ind w:left="360"/>
      </w:pPr>
      <w:r>
        <w:rPr>
          <w:i/>
        </w:rPr>
        <w:t xml:space="preserve">If “yes,” explain how all four conditions are met: </w:t>
      </w:r>
      <w:r>
        <w:rPr>
          <w:color w:val="8A1B3F"/>
        </w:rPr>
        <w:t>Response required if “yes”.</w:t>
      </w:r>
    </w:p>
    <w:p w14:paraId="5DD80471" w14:textId="77777777" w:rsidR="00993A47" w:rsidRDefault="00000000">
      <w:pPr>
        <w:pStyle w:val="Heading1"/>
      </w:pPr>
      <w:r>
        <w:t>F. Limited IRB Review — Privacy and Confidentiality Protections</w:t>
      </w:r>
    </w:p>
    <w:p w14:paraId="432F4FB2" w14:textId="77777777" w:rsidR="00993A47" w:rsidRDefault="00000000">
      <w:pPr>
        <w:spacing w:before="80" w:after="80"/>
      </w:pPr>
      <w:r>
        <w:rPr>
          <w:i/>
        </w:rPr>
        <w:t>Complete this section only if you selected sub-condition (iii) under Category 2 or Category 3, or if you selected Category 7 or Category 8. Otherwise, skip to Section G.</w:t>
      </w:r>
    </w:p>
    <w:p w14:paraId="0911480B" w14:textId="77777777" w:rsidR="00993A47" w:rsidRDefault="00000000">
      <w:pPr>
        <w:pStyle w:val="Heading2"/>
      </w:pPr>
      <w:r>
        <w:t>Privacy Protections</w:t>
      </w:r>
    </w:p>
    <w:p w14:paraId="77058271" w14:textId="77777777" w:rsidR="00993A47" w:rsidRDefault="00000000" w:rsidP="00467817">
      <w:pPr>
        <w:spacing w:before="80" w:after="80"/>
        <w:ind w:left="360"/>
      </w:pPr>
      <w:r>
        <w:rPr>
          <w:i/>
        </w:rPr>
        <w:t>Describe how you will protect participants’ privacy during the research process. Consider how participants will be recruited and approached, whether the research setting is private, whether sensitive topics will be discussed, and how you will minimize intrusions on participants’ privacy beyond what is necessary for the research.</w:t>
      </w:r>
    </w:p>
    <w:p w14:paraId="296A2EF3" w14:textId="77777777" w:rsidR="00993A47" w:rsidRDefault="00000000" w:rsidP="00467817">
      <w:pPr>
        <w:spacing w:before="80" w:after="80"/>
        <w:ind w:left="360"/>
      </w:pPr>
      <w:r>
        <w:rPr>
          <w:color w:val="8A1B3F"/>
        </w:rPr>
        <w:t>Response required if applicable (see above).</w:t>
      </w:r>
    </w:p>
    <w:p w14:paraId="6997EA87" w14:textId="77777777" w:rsidR="00993A47" w:rsidRDefault="00000000">
      <w:pPr>
        <w:pStyle w:val="Heading2"/>
      </w:pPr>
      <w:r>
        <w:t>Confidentiality Protections</w:t>
      </w:r>
    </w:p>
    <w:p w14:paraId="040D3D79" w14:textId="77777777" w:rsidR="00993A47" w:rsidRDefault="00000000" w:rsidP="00467817">
      <w:pPr>
        <w:spacing w:before="80" w:after="80"/>
        <w:ind w:left="360"/>
      </w:pPr>
      <w:r>
        <w:rPr>
          <w:i/>
        </w:rPr>
        <w:t>Describe how you will maintain the confidentiality of data collected in this research. Address the following as applicable: how data will be stored (e.g., encrypted files, locked cabinets, password-protected devices); who will have access to identifiable data; how identifiers will be handled (e.g., separated from data, coded, removed after collection); how long identifiable data will be retained; and how data will be destroyed when no longer needed.</w:t>
      </w:r>
    </w:p>
    <w:p w14:paraId="0AFC0B2D" w14:textId="77777777" w:rsidR="00993A47" w:rsidRDefault="00000000" w:rsidP="00467817">
      <w:pPr>
        <w:spacing w:before="80" w:after="80"/>
        <w:ind w:left="360"/>
      </w:pPr>
      <w:r>
        <w:rPr>
          <w:color w:val="8A1B3F"/>
        </w:rPr>
        <w:t>Response required if applicable (see above).</w:t>
      </w:r>
    </w:p>
    <w:p w14:paraId="02456404" w14:textId="77777777" w:rsidR="00993A47" w:rsidRDefault="00000000">
      <w:pPr>
        <w:pStyle w:val="Heading1"/>
      </w:pPr>
      <w:r>
        <w:t>G. Informed Consent</w:t>
      </w:r>
    </w:p>
    <w:p w14:paraId="3B1A9671" w14:textId="77777777" w:rsidR="00993A47" w:rsidRDefault="00000000">
      <w:pPr>
        <w:spacing w:before="80" w:after="80"/>
      </w:pPr>
      <w:r>
        <w:rPr>
          <w:b/>
        </w:rPr>
        <w:t>We encourage all projects to evaluate whether an informed consent document is necessary or desirable, and if so, to include such a document in the email with this completed form.</w:t>
      </w:r>
    </w:p>
    <w:p w14:paraId="060A2E3F" w14:textId="77777777" w:rsidR="00993A47" w:rsidRDefault="00000000">
      <w:pPr>
        <w:spacing w:before="80" w:after="80"/>
      </w:pPr>
      <w:r>
        <w:t>If you are unsure whether your project needs a consent document or what it should contain, contact the IRB chair for guidance.</w:t>
      </w:r>
    </w:p>
    <w:p w14:paraId="4F9CCC0D" w14:textId="77777777" w:rsidR="00993A47" w:rsidRDefault="00000000">
      <w:pPr>
        <w:pStyle w:val="Heading1"/>
      </w:pPr>
      <w:r>
        <w:lastRenderedPageBreak/>
        <w:t>H. Investigator Certification</w:t>
      </w:r>
    </w:p>
    <w:p w14:paraId="4D4CEC28" w14:textId="77777777" w:rsidR="00993A47" w:rsidRDefault="00000000">
      <w:pPr>
        <w:spacing w:before="80" w:after="80"/>
      </w:pPr>
      <w:r>
        <w:t xml:space="preserve">By entering your name below, you affirm that ALL components of the above research fall into one or more exempt categories. If </w:t>
      </w:r>
      <w:r w:rsidRPr="00467817">
        <w:rPr>
          <w:u w:val="single"/>
        </w:rPr>
        <w:t>any part</w:t>
      </w:r>
      <w:r>
        <w:t xml:space="preserve"> of your research does not fall into a category above, you may not request an exemption and should submit an Expedited Review or Full Review application instead.</w:t>
      </w:r>
    </w:p>
    <w:p w14:paraId="1B0CA7C7" w14:textId="77777777" w:rsidR="00993A47" w:rsidRDefault="00000000">
      <w:pPr>
        <w:spacing w:before="80" w:after="80"/>
      </w:pPr>
      <w:r>
        <w:t>Please attach all relevant supporting materials (e.g., survey instruments, interview questions, recruitment materials, consent documents if applicable) in the same email as this completed form.</w:t>
      </w:r>
    </w:p>
    <w:p w14:paraId="4F8D50B0" w14:textId="5BC0CEF0" w:rsidR="00993A47" w:rsidRDefault="00000000">
      <w:pPr>
        <w:spacing w:before="120" w:after="120"/>
      </w:pPr>
      <w:r>
        <w:rPr>
          <w:b/>
        </w:rPr>
        <w:t>Name:</w:t>
      </w:r>
      <w:r>
        <w:t xml:space="preserve"> </w:t>
      </w:r>
      <w:r w:rsidR="00467817">
        <w:rPr>
          <w:color w:val="8A1B3F"/>
        </w:rPr>
        <w:t>Response required</w:t>
      </w:r>
    </w:p>
    <w:p w14:paraId="7B5D5024" w14:textId="58987015" w:rsidR="00993A47" w:rsidRDefault="00000000">
      <w:pPr>
        <w:spacing w:before="120" w:after="120"/>
      </w:pPr>
      <w:r>
        <w:rPr>
          <w:b/>
        </w:rPr>
        <w:t xml:space="preserve">Date: </w:t>
      </w:r>
      <w:r w:rsidR="00467817">
        <w:rPr>
          <w:color w:val="8A1B3F"/>
        </w:rPr>
        <w:t>Response required</w:t>
      </w:r>
    </w:p>
    <w:p w14:paraId="45D87DF9" w14:textId="77777777" w:rsidR="00993A47" w:rsidRDefault="00993A47"/>
    <w:p w14:paraId="1D658DE7" w14:textId="56B014E2" w:rsidR="00993A47" w:rsidRDefault="00993A47">
      <w:pPr>
        <w:spacing w:before="80" w:after="80"/>
      </w:pPr>
    </w:p>
    <w:sectPr w:rsidR="00993A47" w:rsidSect="00415D7D">
      <w:headerReference w:type="even" r:id="rId7"/>
      <w:headerReference w:type="default" r:id="rId8"/>
      <w:footerReference w:type="even" r:id="rId9"/>
      <w:footerReference w:type="default" r:id="rId10"/>
      <w:headerReference w:type="first" r:id="rId11"/>
      <w:footerReference w:type="first" r:id="rId12"/>
      <w:pgSz w:w="12226" w:h="15840"/>
      <w:pgMar w:top="210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B4A39" w14:textId="77777777" w:rsidR="00B968BB" w:rsidRDefault="00B968BB" w:rsidP="00AB35E2">
      <w:r>
        <w:separator/>
      </w:r>
    </w:p>
  </w:endnote>
  <w:endnote w:type="continuationSeparator" w:id="0">
    <w:p w14:paraId="0775C66F" w14:textId="77777777" w:rsidR="00B968BB" w:rsidRDefault="00B968BB" w:rsidP="00AB3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35332837"/>
      <w:docPartObj>
        <w:docPartGallery w:val="Page Numbers (Bottom of Page)"/>
        <w:docPartUnique/>
      </w:docPartObj>
    </w:sdtPr>
    <w:sdtContent>
      <w:p w14:paraId="4BD2ECFB" w14:textId="77777777" w:rsidR="00360687" w:rsidRDefault="00360687" w:rsidP="00BA1D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75DA3ABD" w14:textId="77777777" w:rsidR="00360687" w:rsidRDefault="00360687" w:rsidP="003606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8008195"/>
      <w:docPartObj>
        <w:docPartGallery w:val="Page Numbers (Bottom of Page)"/>
        <w:docPartUnique/>
      </w:docPartObj>
    </w:sdtPr>
    <w:sdtContent>
      <w:p w14:paraId="03A0A567" w14:textId="77777777" w:rsidR="00360687" w:rsidRDefault="00360687" w:rsidP="00BA1D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37BB0AD1" w14:textId="6BC1C373" w:rsidR="0002654E" w:rsidRDefault="0002654E" w:rsidP="00360687">
    <w:pPr>
      <w:pStyle w:val="Footer"/>
      <w:ind w:right="360"/>
    </w:pPr>
    <w:r>
      <w:t>Earlham IRB - August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DED63" w14:textId="77777777" w:rsidR="0002654E" w:rsidRDefault="00026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85165" w14:textId="77777777" w:rsidR="00B968BB" w:rsidRDefault="00B968BB">
      <w:r>
        <w:separator/>
      </w:r>
    </w:p>
  </w:footnote>
  <w:footnote w:type="continuationSeparator" w:id="0">
    <w:p w14:paraId="045F9D24" w14:textId="77777777" w:rsidR="00B968BB" w:rsidRDefault="00B968BB">
      <w:r>
        <w:continuationSeparator/>
      </w:r>
    </w:p>
  </w:footnote>
  <w:footnote w:id="1">
    <w:p w14:paraId="45269FBA" w14:textId="77777777" w:rsidR="00993A47" w:rsidRDefault="00000000">
      <w:pPr>
        <w:pStyle w:val="FootnoteText"/>
      </w:pPr>
      <w:r>
        <w:rPr>
          <w:rStyle w:val="FootnoteReference"/>
        </w:rPr>
        <w:footnoteRef/>
      </w:r>
      <w:r>
        <w:t xml:space="preserve"> 45 CFR 46.104(d) of the Federal Policy for the Protection of Human Subjects (the Common Rule, 2018 Requirements).</w:t>
      </w:r>
    </w:p>
  </w:footnote>
  <w:footnote w:id="2">
    <w:p w14:paraId="75CA895E" w14:textId="77777777" w:rsidR="00993A47" w:rsidRDefault="00000000">
      <w:pPr>
        <w:pStyle w:val="FootnoteText"/>
      </w:pPr>
      <w:r>
        <w:rPr>
          <w:rStyle w:val="FootnoteReference"/>
        </w:rPr>
        <w:footnoteRef/>
      </w:r>
      <w:r>
        <w:t xml:space="preserve"> 45 CFR 46.111(a)(7).</w:t>
      </w:r>
    </w:p>
  </w:footnote>
  <w:footnote w:id="3">
    <w:p w14:paraId="7604E371" w14:textId="77777777" w:rsidR="00993A47" w:rsidRDefault="00000000">
      <w:pPr>
        <w:pStyle w:val="FootnoteText"/>
      </w:pPr>
      <w:r>
        <w:rPr>
          <w:rStyle w:val="FootnoteReference"/>
        </w:rPr>
        <w:footnoteRef/>
      </w:r>
      <w:r>
        <w:t xml:space="preserve"> 45 CFR 46, Subpart C.</w:t>
      </w:r>
    </w:p>
  </w:footnote>
  <w:footnote w:id="4">
    <w:p w14:paraId="34964F7A" w14:textId="77777777" w:rsidR="00993A47" w:rsidRDefault="00000000">
      <w:pPr>
        <w:pStyle w:val="FootnoteText"/>
      </w:pPr>
      <w:r>
        <w:rPr>
          <w:rStyle w:val="FootnoteReference"/>
        </w:rPr>
        <w:footnoteRef/>
      </w:r>
      <w:r>
        <w:t xml:space="preserve"> 45 CFR 46, Subpart D.</w:t>
      </w:r>
    </w:p>
  </w:footnote>
  <w:footnote w:id="5">
    <w:p w14:paraId="0573C4AE" w14:textId="77777777" w:rsidR="00993A47" w:rsidRDefault="00000000">
      <w:pPr>
        <w:pStyle w:val="FootnoteText"/>
      </w:pPr>
      <w:r>
        <w:rPr>
          <w:rStyle w:val="FootnoteReference"/>
        </w:rPr>
        <w:footnoteRef/>
      </w:r>
      <w:r>
        <w:t xml:space="preserve"> 45 CFR 46, Subpart B.</w:t>
      </w:r>
    </w:p>
  </w:footnote>
  <w:footnote w:id="6">
    <w:p w14:paraId="454CF405" w14:textId="77777777" w:rsidR="00993A47" w:rsidRDefault="00000000">
      <w:pPr>
        <w:pStyle w:val="FootnoteText"/>
      </w:pPr>
      <w:r>
        <w:rPr>
          <w:rStyle w:val="FootnoteReference"/>
        </w:rPr>
        <w:footnoteRef/>
      </w:r>
      <w:r>
        <w:t xml:space="preserve"> 45 CFR 46.102(</w:t>
      </w:r>
      <w:proofErr w:type="spellStart"/>
      <w:r>
        <w:t>i</w:t>
      </w:r>
      <w:proofErr w:type="spellEnd"/>
      <w:r>
        <w:t>) defines "minimal risk" as the probability and magnitude of harm or discomfort anticipated in the research being not greater in and of themselves than those ordinarily encountered in daily life or during the performance of routine physical or psychological examinations or tests.</w:t>
      </w:r>
    </w:p>
  </w:footnote>
  <w:footnote w:id="7">
    <w:p w14:paraId="343A2F1F" w14:textId="77777777" w:rsidR="00993A47" w:rsidRDefault="00000000">
      <w:pPr>
        <w:pStyle w:val="FootnoteText"/>
      </w:pPr>
      <w:r>
        <w:rPr>
          <w:rStyle w:val="FootnoteReference"/>
        </w:rPr>
        <w:footnoteRef/>
      </w:r>
      <w:r>
        <w:t xml:space="preserve"> 45 CFR parts 160 and 164 (HIPAA).</w:t>
      </w:r>
    </w:p>
  </w:footnote>
  <w:footnote w:id="8">
    <w:p w14:paraId="372E80CB" w14:textId="77777777" w:rsidR="00993A47" w:rsidRDefault="00000000">
      <w:pPr>
        <w:pStyle w:val="FootnoteText"/>
      </w:pPr>
      <w:r>
        <w:rPr>
          <w:rStyle w:val="FootnoteReference"/>
        </w:rPr>
        <w:footnoteRef/>
      </w:r>
      <w:r>
        <w:t xml:space="preserve"> 45 CFR 46.116(d).</w:t>
      </w:r>
    </w:p>
  </w:footnote>
  <w:footnote w:id="9">
    <w:p w14:paraId="0E0FBEFF" w14:textId="77777777" w:rsidR="00993A47" w:rsidRDefault="00000000">
      <w:pPr>
        <w:pStyle w:val="FootnoteText"/>
      </w:pPr>
      <w:r>
        <w:rPr>
          <w:rStyle w:val="FootnoteReference"/>
        </w:rPr>
        <w:footnoteRef/>
      </w:r>
      <w:r>
        <w:t xml:space="preserve"> 45 CFR 46.111(a)(7). The IRB will conduct a limited review to confirm adequate privacy and confidentiality protections.</w:t>
      </w:r>
    </w:p>
  </w:footnote>
  <w:footnote w:id="10">
    <w:p w14:paraId="3A29EFB0" w14:textId="77777777" w:rsidR="00C66CD3" w:rsidRDefault="00C66CD3"/>
    <w:p w14:paraId="75DD091A" w14:textId="77777777" w:rsidR="004B3123" w:rsidRDefault="004B31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CD092" w14:textId="77777777" w:rsidR="0026034E" w:rsidRDefault="00B968BB">
    <w:pPr>
      <w:pStyle w:val="Header"/>
    </w:pPr>
    <w:r>
      <w:rPr>
        <w:noProof/>
      </w:rPr>
      <w:pict w14:anchorId="6C08C5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527.85pt;height:131.95pt;rotation:315;z-index:-251644928;mso-wrap-edited:f;mso-width-percent:0;mso-height-percent:0;mso-position-horizontal:center;mso-position-horizontal-relative:margin;mso-position-vertical:center;mso-position-vertical-relative:margin;mso-width-percent:0;mso-height-percent:0" o:allowincell="f" fillcolor="silver" stroked="f">
          <v:textpath style="font-family:&quot;Garamond&quot;;font-size:1pt" string="Preliminar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F0FC" w14:textId="77777777" w:rsidR="00AB35E2" w:rsidRDefault="00CA4311">
    <w:pPr>
      <w:pStyle w:val="Header"/>
    </w:pPr>
    <w:r>
      <w:rPr>
        <w:noProof/>
      </w:rPr>
      <mc:AlternateContent>
        <mc:Choice Requires="wps">
          <w:drawing>
            <wp:anchor distT="0" distB="0" distL="114300" distR="114300" simplePos="0" relativeHeight="251663360" behindDoc="0" locked="0" layoutInCell="1" allowOverlap="1" wp14:anchorId="0970E55C" wp14:editId="55D3370D">
              <wp:simplePos x="0" y="0"/>
              <wp:positionH relativeFrom="margin">
                <wp:posOffset>-604520</wp:posOffset>
              </wp:positionH>
              <wp:positionV relativeFrom="paragraph">
                <wp:posOffset>-360369</wp:posOffset>
              </wp:positionV>
              <wp:extent cx="2138045" cy="640080"/>
              <wp:effectExtent l="0" t="0" r="0" b="0"/>
              <wp:wrapNone/>
              <wp:docPr id="367" name="Text Box 367"/>
              <wp:cNvGraphicFramePr/>
              <a:graphic xmlns:a="http://schemas.openxmlformats.org/drawingml/2006/main">
                <a:graphicData uri="http://schemas.microsoft.com/office/word/2010/wordprocessingShape">
                  <wps:wsp>
                    <wps:cNvSpPr txBox="1"/>
                    <wps:spPr>
                      <a:xfrm>
                        <a:off x="0" y="0"/>
                        <a:ext cx="2138045" cy="640080"/>
                      </a:xfrm>
                      <a:prstGeom prst="rect">
                        <a:avLst/>
                      </a:prstGeom>
                      <a:noFill/>
                      <a:ln w="6350">
                        <a:noFill/>
                      </a:ln>
                    </wps:spPr>
                    <wps:txbx>
                      <w:txbxContent>
                        <w:p w14:paraId="0FE6796D" w14:textId="77777777" w:rsidR="00AB35E2" w:rsidRPr="00CA4311" w:rsidRDefault="00AB35E2" w:rsidP="00CA4311">
                          <w:pPr>
                            <w:pStyle w:val="Subtitle"/>
                            <w:jc w:val="center"/>
                            <w:rPr>
                              <w:color w:val="F2F2F2" w:themeColor="background1" w:themeShade="F2"/>
                              <w:spacing w:val="40"/>
                            </w:rPr>
                          </w:pPr>
                          <w:r w:rsidRPr="00CA4311">
                            <w:rPr>
                              <w:color w:val="F2F2F2" w:themeColor="background1" w:themeShade="F2"/>
                              <w:spacing w:val="40"/>
                            </w:rPr>
                            <w:t>Institutional</w:t>
                          </w:r>
                        </w:p>
                        <w:p w14:paraId="17CCFEFA" w14:textId="77777777" w:rsidR="00AB35E2" w:rsidRPr="00CA4311" w:rsidRDefault="00AB35E2" w:rsidP="00CA4311">
                          <w:pPr>
                            <w:pStyle w:val="Subtitle"/>
                            <w:jc w:val="center"/>
                            <w:rPr>
                              <w:color w:val="F2F2F2" w:themeColor="background1" w:themeShade="F2"/>
                              <w:spacing w:val="40"/>
                            </w:rPr>
                          </w:pPr>
                          <w:r w:rsidRPr="00CA4311">
                            <w:rPr>
                              <w:color w:val="F2F2F2" w:themeColor="background1" w:themeShade="F2"/>
                              <w:spacing w:val="40"/>
                            </w:rPr>
                            <w:t>Review Board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shapetype w14:anchorId="0970E55C" id="_x0000_t202" coordsize="21600,21600" o:spt="202" path="m,l,21600r21600,l21600,xe">
              <v:stroke joinstyle="miter"/>
              <v:path gradientshapeok="t" o:connecttype="rect"/>
            </v:shapetype>
            <v:shape id="Text Box 367" o:spid="_x0000_s1026" type="#_x0000_t202" style="position:absolute;margin-left:-47.6pt;margin-top:-28.4pt;width:168.35pt;height:50.4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" filled="f" stroked="f" strokeweight=".5pt">
              <v:textbox>
                <w:txbxContent>
                  <w:p w14:paraId="0FE6796D" w14:textId="77777777" w:rsidR="00AB35E2" w:rsidRPr="00CA4311" w:rsidRDefault="00AB35E2" w:rsidP="00CA4311">
                    <w:pPr>
                      <w:pStyle w:val="Subtitle"/>
                      <w:jc w:val="center"/>
                      <w:rPr>
                        <w:color w:val="F2F2F2" w:themeColor="background1" w:themeShade="F2"/>
                        <w:spacing w:val="40"/>
                      </w:rPr>
                    </w:pPr>
                    <w:r w:rsidRPr="00CA4311">
                      <w:rPr>
                        <w:color w:val="F2F2F2" w:themeColor="background1" w:themeShade="F2"/>
                        <w:spacing w:val="40"/>
                      </w:rPr>
                      <w:t>Institutional</w:t>
                    </w:r>
                  </w:p>
                  <w:p w14:paraId="17CCFEFA" w14:textId="77777777" w:rsidR="00AB35E2" w:rsidRPr="00CA4311" w:rsidRDefault="00AB35E2" w:rsidP="00CA4311">
                    <w:pPr>
                      <w:pStyle w:val="Subtitle"/>
                      <w:jc w:val="center"/>
                      <w:rPr>
                        <w:color w:val="F2F2F2" w:themeColor="background1" w:themeShade="F2"/>
                        <w:spacing w:val="40"/>
                      </w:rPr>
                    </w:pPr>
                    <w:r w:rsidRPr="00CA4311">
                      <w:rPr>
                        <w:color w:val="F2F2F2" w:themeColor="background1" w:themeShade="F2"/>
                        <w:spacing w:val="40"/>
                      </w:rPr>
                      <w:t>Review Board</w:t>
                    </w:r>
                  </w:p>
                </w:txbxContent>
              </v:textbox>
              <w10:wrap anchorx="margin"/>
            </v:shape>
          </w:pict>
        </mc:Fallback>
      </mc:AlternateContent>
    </w:r>
    <w:r w:rsidR="00AB35E2">
      <w:rPr>
        <w:noProof/>
      </w:rPr>
      <w:drawing>
        <wp:anchor distT="0" distB="0" distL="114300" distR="114300" simplePos="0" relativeHeight="251661312" behindDoc="0" locked="0" layoutInCell="1" allowOverlap="1" wp14:anchorId="1D851403" wp14:editId="2C52F93D">
          <wp:simplePos x="0" y="0"/>
          <wp:positionH relativeFrom="column">
            <wp:posOffset>-299085</wp:posOffset>
          </wp:positionH>
          <wp:positionV relativeFrom="paragraph">
            <wp:posOffset>4134</wp:posOffset>
          </wp:positionV>
          <wp:extent cx="1528445" cy="954405"/>
          <wp:effectExtent l="0" t="0" r="0" b="0"/>
          <wp:wrapNone/>
          <wp:docPr id="366" name="Picture 366" descr="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Picture 366" descr="Logo  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28445" cy="954405"/>
                  </a:xfrm>
                  <a:prstGeom prst="rect">
                    <a:avLst/>
                  </a:prstGeom>
                </pic:spPr>
              </pic:pic>
            </a:graphicData>
          </a:graphic>
        </wp:anchor>
      </w:drawing>
    </w:r>
    <w:r w:rsidR="00AB35E2">
      <w:rPr>
        <w:noProof/>
      </w:rPr>
      <mc:AlternateContent>
        <mc:Choice Requires="wps">
          <w:drawing>
            <wp:anchor distT="0" distB="0" distL="114300" distR="114300" simplePos="0" relativeHeight="251659264" behindDoc="0" locked="0" layoutInCell="1" allowOverlap="1" wp14:anchorId="23025DDE" wp14:editId="61223087">
              <wp:simplePos x="0" y="0"/>
              <wp:positionH relativeFrom="column">
                <wp:posOffset>-516890</wp:posOffset>
              </wp:positionH>
              <wp:positionV relativeFrom="paragraph">
                <wp:posOffset>-471170</wp:posOffset>
              </wp:positionV>
              <wp:extent cx="1962150" cy="1237957"/>
              <wp:effectExtent l="0" t="0" r="6350" b="0"/>
              <wp:wrapNone/>
              <wp:docPr id="478935808" name="Freeform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2150" cy="1237957"/>
                      </a:xfrm>
                      <a:custGeom>
                        <a:avLst/>
                        <a:gdLst>
                          <a:gd name="T0" fmla="*/ 0 w 1470"/>
                          <a:gd name="T1" fmla="*/ 1097 h 1097"/>
                          <a:gd name="T2" fmla="*/ 0 w 1470"/>
                          <a:gd name="T3" fmla="*/ 1097 h 1097"/>
                          <a:gd name="T4" fmla="*/ 1470 w 1470"/>
                          <a:gd name="T5" fmla="*/ 1097 h 1097"/>
                          <a:gd name="T6" fmla="*/ 1470 w 1470"/>
                          <a:gd name="T7" fmla="*/ 0 h 1097"/>
                          <a:gd name="T8" fmla="*/ 0 w 1470"/>
                          <a:gd name="T9" fmla="*/ 0 h 1097"/>
                          <a:gd name="T10" fmla="*/ 0 w 1470"/>
                          <a:gd name="T11" fmla="*/ 1097 h 1097"/>
                        </a:gdLst>
                        <a:ahLst/>
                        <a:cxnLst>
                          <a:cxn ang="0">
                            <a:pos x="T0" y="T1"/>
                          </a:cxn>
                          <a:cxn ang="0">
                            <a:pos x="T2" y="T3"/>
                          </a:cxn>
                          <a:cxn ang="0">
                            <a:pos x="T4" y="T5"/>
                          </a:cxn>
                          <a:cxn ang="0">
                            <a:pos x="T6" y="T7"/>
                          </a:cxn>
                          <a:cxn ang="0">
                            <a:pos x="T8" y="T9"/>
                          </a:cxn>
                          <a:cxn ang="0">
                            <a:pos x="T10" y="T11"/>
                          </a:cxn>
                        </a:cxnLst>
                        <a:rect l="0" t="0" r="r" b="b"/>
                        <a:pathLst>
                          <a:path w="1470" h="1097">
                            <a:moveTo>
                              <a:pt x="0" y="1097"/>
                            </a:moveTo>
                            <a:lnTo>
                              <a:pt x="0" y="1097"/>
                            </a:lnTo>
                            <a:lnTo>
                              <a:pt x="1470" y="1097"/>
                            </a:lnTo>
                            <a:lnTo>
                              <a:pt x="1470" y="0"/>
                            </a:lnTo>
                            <a:lnTo>
                              <a:pt x="0" y="0"/>
                            </a:lnTo>
                            <a:lnTo>
                              <a:pt x="0" y="1097"/>
                            </a:lnTo>
                            <a:close/>
                          </a:path>
                        </a:pathLst>
                      </a:custGeom>
                      <a:solidFill>
                        <a:srgbClr val="86173D"/>
                      </a:solidFill>
                      <a:ln w="0">
                        <a:noFill/>
                        <a:prstDash val="solid"/>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3CC39954" id="Freeform 250" o:spid="_x0000_s1026" style="position:absolute;margin-left:-40.7pt;margin-top:-37.1pt;width:154.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470,109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mPe6BQMAAC0IAAAOAAAAZHJzL2Uyb0RvYy54bWysVdtu2zAMfR+wfxD0OGC1nWtjNCmGZh0G dBeg2QcoshwbkyVNUuJ0X19StlO3a7Jg2IslmUe8HFLk1fW+kmQnrCu1mtPkIqZEKK6zUm3m9Mfq 9v0lJc4zlTGplZjTB+Ho9eLtm6vapGKgCy0zYQkoUS6tzZwW3ps0ihwvRMXchTZCgTDXtmIejnYT ZZbVoL2S0SCOJ1GtbWas5sI5+LtshHQR9Oe54P5bnjvhiZxT8M2Hrw3fNX6jxRVLN5aZouStG+wf vKhYqcDoQdWSeUa2tvxDVVVyq53O/QXXVaTzvOQixADRJPGLaO4LZkSIBchx5kCT+39q+dfdvflu 0XVn7jT/6YCRqDYuPUjw4ABD1vUXnUEO2dbrEOw+txXehDDIPnD6cOBU7D3h8DOZTQbJGKjnIEsG w+lsPEXWI5Z21/nW+U9CB1Vsd+d8k5QMdoHSjChWgd0VaMkrCfl5F5GY1CQZTbsMHjBJD5PEsykp CC5tog+wQQ92TNWwhzmhatSHgUdHHBv3Yccdm/Rhx7VNe7D4SIzw9P5K1+wZ5nWukrN4P0E85HrT ZZMVXYL5XrUZhh1h2DDiUFZGOywnTDfUzCppywVQWA5HwJBQBA/PAkPKEDw+CwwZQXBXtafdAM4R PDtLMxKL6ORZiMAW2GipsdDBXvYuSwn0rjWaYKlhHhnttqSGV4bPghSwwcJHSaV3YqUDxj+91O5d gMEngFQngZ24W03Q11iEUHoqO0S3vkCGhwuWO3G3NrCGmHMwr1jkUjvRtBhkJ/SaA03Ibq/fOC3L 7LaUEslxdrO+kZbsGEyLy0kyHS7bPD6DSYUsN7WqNF5uMmGdXzJXNNfDjSZFVm9VFiCFYNnHdu9Z KZt9YKHtuthocXi5dK2zB2i6VjczC2YsbAptf1NSw7yaU/dry6ygRH5WMBBmyWgErPlwGI2nAzjY vmTdlzDFQdWcegoPD7c3vhmKW2PLTQGWklA4Sn+AZp+X2JLDVGi8ag8wkwK57fzEodc/B9TTlF88 AgAA//8DAFBLAwQUAAYACAAAACEA1WjR++YAAAAQAQAADwAAAGRycy9kb3ducmV2LnhtbEyPQU/D MAyF70j8h8hI3La01bRWXdOpGuLCYWgrEuKWtV7T0SRVkq2FX485wcWy5c/P7xXbWQ/shs731giI lxEwNI1te9MJeKufFxkwH6Rp5WANCvhCD9vy/q6QeWsnc8DbMXSMRIzPpQAVwphz7huFWvqlHdHQ 7mydloFG1/HWyYnE9cCTKFpzLXtDH5Qccaew+TxetQAeV67eN+mH+q5fD++X3YT7l0qIx4f5aUOl 2gALOIe/C/jNQP6hJGMnezWtZ4OARRavCKUmXSXAiEiSdA3sRGgSZcDLgv8PUv4AAAD//wMAUEsB Ai0AFAAGAAgAAAAhALaDOJL+AAAA4QEAABMAAAAAAAAAAAAAAAAAAAAAAFtDb250ZW50X1R5cGVz XS54bWxQSwECLQAUAAYACAAAACEAOP0h/9YAAACUAQAACwAAAAAAAAAAAAAAAAAvAQAAX3JlbHMv LnJlbHNQSwECLQAUAAYACAAAACEALJj3ugUDAAAtCAAADgAAAAAAAAAAAAAAAAAuAgAAZHJzL2Uy b0RvYy54bWxQSwECLQAUAAYACAAAACEA1WjR++YAAAAQAQAADwAAAAAAAAAAAAAAAABfBQAAZHJz L2Rvd25yZXYueG1sUEsFBgAAAAAEAAQA8wAAAHIGAAAAAA== " path="m,1097r,l1470,1097,1470,,,,,1097xe" fillcolor="#86173d" stroked="f" strokeweight="0">
              <v:path arrowok="t" o:connecttype="custom" o:connectlocs="0,1237957;0,1237957;1962150,1237957;1962150,0;0,0;0,1237957" o:connectangles="0,0,0,0,0,0"/>
            </v:shape>
          </w:pict>
        </mc:Fallback>
      </mc:AlternateContent>
    </w:r>
    <w:r w:rsidR="00AB35E2">
      <w:rPr>
        <w:noProof/>
      </w:rPr>
      <mc:AlternateContent>
        <mc:Choice Requires="wps">
          <w:drawing>
            <wp:anchor distT="0" distB="0" distL="114300" distR="114300" simplePos="0" relativeHeight="251660288" behindDoc="0" locked="0" layoutInCell="1" allowOverlap="1" wp14:anchorId="6C3E189D" wp14:editId="0BA0AFCA">
              <wp:simplePos x="0" y="0"/>
              <wp:positionH relativeFrom="column">
                <wp:posOffset>17145</wp:posOffset>
              </wp:positionH>
              <wp:positionV relativeFrom="paragraph">
                <wp:posOffset>190500</wp:posOffset>
              </wp:positionV>
              <wp:extent cx="2540" cy="4445"/>
              <wp:effectExtent l="0" t="0" r="0" b="0"/>
              <wp:wrapNone/>
              <wp:docPr id="882937611" name="Freeform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4445"/>
                      </a:xfrm>
                      <a:custGeom>
                        <a:avLst/>
                        <a:gdLst>
                          <a:gd name="T0" fmla="*/ 0 w 3"/>
                          <a:gd name="T1" fmla="*/ 3 h 5"/>
                          <a:gd name="T2" fmla="*/ 0 w 3"/>
                          <a:gd name="T3" fmla="*/ 3 h 5"/>
                          <a:gd name="T4" fmla="*/ 3 w 3"/>
                          <a:gd name="T5" fmla="*/ 5 h 5"/>
                          <a:gd name="T6" fmla="*/ 2 w 3"/>
                          <a:gd name="T7" fmla="*/ 0 h 5"/>
                          <a:gd name="T8" fmla="*/ 0 w 3"/>
                          <a:gd name="T9" fmla="*/ 3 h 5"/>
                        </a:gdLst>
                        <a:ahLst/>
                        <a:cxnLst>
                          <a:cxn ang="0">
                            <a:pos x="T0" y="T1"/>
                          </a:cxn>
                          <a:cxn ang="0">
                            <a:pos x="T2" y="T3"/>
                          </a:cxn>
                          <a:cxn ang="0">
                            <a:pos x="T4" y="T5"/>
                          </a:cxn>
                          <a:cxn ang="0">
                            <a:pos x="T6" y="T7"/>
                          </a:cxn>
                          <a:cxn ang="0">
                            <a:pos x="T8" y="T9"/>
                          </a:cxn>
                        </a:cxnLst>
                        <a:rect l="0" t="0" r="r" b="b"/>
                        <a:pathLst>
                          <a:path w="3" h="5">
                            <a:moveTo>
                              <a:pt x="0" y="3"/>
                            </a:moveTo>
                            <a:lnTo>
                              <a:pt x="0" y="3"/>
                            </a:lnTo>
                            <a:cubicBezTo>
                              <a:pt x="0" y="4"/>
                              <a:pt x="1" y="5"/>
                              <a:pt x="3" y="5"/>
                            </a:cubicBezTo>
                            <a:lnTo>
                              <a:pt x="2" y="0"/>
                            </a:lnTo>
                            <a:cubicBezTo>
                              <a:pt x="0" y="1"/>
                              <a:pt x="0" y="1"/>
                              <a:pt x="0" y="3"/>
                            </a:cubicBezTo>
                            <a:close/>
                          </a:path>
                        </a:pathLst>
                      </a:custGeom>
                      <a:solidFill>
                        <a:srgbClr val="FEFEFE"/>
                      </a:solidFill>
                      <a:ln w="0">
                        <a:solidFill>
                          <a:srgbClr val="000000"/>
                        </a:solidFill>
                        <a:prstDash val="solid"/>
                        <a:round/>
                        <a:headEnd/>
                        <a:tailEnd/>
                      </a:ln>
                    </wps:spPr>
                    <wps:bodyPr rot="0"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w:pict>
            <v:shape w14:anchorId="16B405FB" id="Freeform 256" o:spid="_x0000_s1026" style="position:absolute;margin-left:1.35pt;margin-top:15pt;width:.2pt;height:.3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3,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5KvBOCgMAAM8HAAAOAAAAZHJzL2Uyb0RvYy54bWysVW1v2yAQ/j5p/wHxcdJqJ3WaNapTbX2Z JnUvUrMfgDGOrWFggOO0v34H2I7TutU0LZEs4B6Ou+eBu4vLfc3RjmlTSZHi2UmMERNU5pXYpvjn 5vb9B4yMJSInXAqW4gdm8OX67ZuLVq3YXJaS50wjcCLMqlUpLq1VqygytGQ1MSdSMQHGQuqaWJjq bZRr0oL3mkfzOD6LWqlzpSVlxsDqdTDitfdfFIza70VhmEU8xRCb9V/tv5n7RusLstpqosqKdmGQ f4iiJpWAQwdX18QS1Ojqmau6oloaWdgTKutIFkVFmc8BspnFT7K5L4liPhcgx6iBJvP/3NJvu3v1 Q7vQjbqT9JcBRqJWmdVgcRMDGJS1X2UOGpLGSp/svtC12wlpoL3n9GHglO0torA4XyTAOwVDkiQL x3dEVv1G2hj7mUnvhOzujA1y5DDyZOZIkBpO3ICLouagzLsIxahFp51wA2A2ApyiEvmTQI4BMB8B Jj2cjgCTHpIjwEQMixFgMRXD2Qgwn8piOQLEUx7gNb3Ow/kIMGQBjG97TknZ00z3ouMZRoi4Bxt7 WZU0Tk5HOsi2mXWiAcqJ8gIY+HVgLwyc9zoYqHTg/jq8DgbWHHj5V2EAQQ58PgaHcLpcNZSEp8VA YwTFIAt3ShHrKHKpuiFqUwxXo0zxwpNTyx3bSG+1h0vfp32wcvEyqrfRJqvoJ/b4HJl0sfgj4G5D Tt2NVn4JIuqXXHZHfnrvARl08YUOkL3teEdABrm92pD6KLmJpT7fYz+US8PCC3fU+ac+0OnjPDx3 I3mV31acOyqN3mZXXKMdgTJ9e+P+nYBHMC6cGuGSHhmO9sf+N7VfaWOviSnDOd5D4FnLRuS+9pSM 5Dfd2JKKh7FnrquLrhS69mJWmcwfoCxqGboKdEEYlFI/YtRCR0mx+d0QzTDiXwSU7PNZ4kqh9ZNk sZzDRI8t2dhCBAVXKbYYnqYbXtnQthqlq20JJ838fRTyI5TjonKl09ftEFU3ga7hVeg6nGtL47lH Hfrw+g8AAAD//wMAUEsDBBQABgAIAAAAIQCJKMCb4AAAAAoBAAAPAAAAZHJzL2Rvd25yZXYueG1s TI/BTsMwEETvSPyDtUhcUOu0hRbSOBWCgip6augHuPESR8TrKHZb8/dsT3BZaTS7s/OKVXKdOOEQ Wk8KJuMMBFLtTUuNgv3n2+gRRIiajO48oYIfDLAqr68KnRt/ph2eqtgIDqGQawU2xj6XMtQWnQ5j 3yOx9+UHpyPLoZFm0GcOd52cZtlcOt0Sf7C6xxeL9Xd1dArun+z7w8cmptTcVfN+v1tvwnat1O1N el3yeF6CiJji3wVcGLg/lFzs4I9kgugUTBe8qGCWMRbbswmIw0UuQJaF/I9Q/gIAAP//AwBQSwEC LQAUAAYACAAAACEAtoM4kv4AAADhAQAAEwAAAAAAAAAAAAAAAAAAAAAAW0NvbnRlbnRfVHlwZXNd LnhtbFBLAQItABQABgAIAAAAIQA4/SH/1gAAAJQBAAALAAAAAAAAAAAAAAAAAC8BAABfcmVscy8u cmVsc1BLAQItABQABgAIAAAAIQA5KvBOCgMAAM8HAAAOAAAAAAAAAAAAAAAAAC4CAABkcnMvZTJv RG9jLnhtbFBLAQItABQABgAIAAAAIQCJKMCb4AAAAAoBAAAPAAAAAAAAAAAAAAAAAGQFAABkcnMv ZG93bnJldi54bWxQSwUGAAAAAAQABADzAAAAcQYAAAAA " path="m,3r,c,4,1,5,3,5l2,c,1,,1,,3xe" fillcolor="#fefefe" strokeweight="0">
              <v:path arrowok="t" o:connecttype="custom" o:connectlocs="0,2667;0,2667;2540,4445;1693,0;0,2667" o:connectangles="0,0,0,0,0"/>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AD521" w14:textId="77777777" w:rsidR="0026034E" w:rsidRDefault="00B968BB">
    <w:pPr>
      <w:pStyle w:val="Header"/>
    </w:pPr>
    <w:r>
      <w:rPr>
        <w:noProof/>
      </w:rPr>
      <w:pict w14:anchorId="0652DC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527.85pt;height:131.95pt;rotation:315;z-index:-251649024;mso-wrap-edited:f;mso-width-percent:0;mso-height-percent:0;mso-position-horizontal:center;mso-position-horizontal-relative:margin;mso-position-vertical:center;mso-position-vertical-relative:margin;mso-width-percent:0;mso-height-percent:0" o:allowincell="f" fillcolor="silver" stroked="f">
          <v:textpath style="font-family:&quot;Garamond&quot;;font-size:1pt" string="Preliminar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75604"/>
    <w:multiLevelType w:val="hybridMultilevel"/>
    <w:tmpl w:val="55A06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517F5B"/>
    <w:multiLevelType w:val="hybridMultilevel"/>
    <w:tmpl w:val="15BC4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AB13EB"/>
    <w:multiLevelType w:val="multilevel"/>
    <w:tmpl w:val="9F2AA3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1AE2A0F"/>
    <w:multiLevelType w:val="hybridMultilevel"/>
    <w:tmpl w:val="55FAB7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243629"/>
    <w:multiLevelType w:val="multilevel"/>
    <w:tmpl w:val="178CBB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5BB02C1E"/>
    <w:multiLevelType w:val="hybridMultilevel"/>
    <w:tmpl w:val="91C48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6462EB"/>
    <w:multiLevelType w:val="hybridMultilevel"/>
    <w:tmpl w:val="29262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7412403">
    <w:abstractNumId w:val="2"/>
  </w:num>
  <w:num w:numId="2" w16cid:durableId="144277294">
    <w:abstractNumId w:val="4"/>
  </w:num>
  <w:num w:numId="3" w16cid:durableId="2124230900">
    <w:abstractNumId w:val="6"/>
  </w:num>
  <w:num w:numId="4" w16cid:durableId="1186940407">
    <w:abstractNumId w:val="0"/>
  </w:num>
  <w:num w:numId="5" w16cid:durableId="630012974">
    <w:abstractNumId w:val="3"/>
  </w:num>
  <w:num w:numId="6" w16cid:durableId="1335646587">
    <w:abstractNumId w:val="1"/>
  </w:num>
  <w:num w:numId="7" w16cid:durableId="2011444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5E2"/>
    <w:rsid w:val="0002654E"/>
    <w:rsid w:val="00030D8C"/>
    <w:rsid w:val="00036CF6"/>
    <w:rsid w:val="0006632C"/>
    <w:rsid w:val="000E392D"/>
    <w:rsid w:val="000F3FC8"/>
    <w:rsid w:val="00111CAC"/>
    <w:rsid w:val="00114D03"/>
    <w:rsid w:val="00126694"/>
    <w:rsid w:val="00136AF8"/>
    <w:rsid w:val="00166B29"/>
    <w:rsid w:val="00170AD9"/>
    <w:rsid w:val="00187F82"/>
    <w:rsid w:val="001A342B"/>
    <w:rsid w:val="002063F8"/>
    <w:rsid w:val="00226074"/>
    <w:rsid w:val="00227F15"/>
    <w:rsid w:val="0026034E"/>
    <w:rsid w:val="002756AC"/>
    <w:rsid w:val="002A44E5"/>
    <w:rsid w:val="002A5799"/>
    <w:rsid w:val="002F1838"/>
    <w:rsid w:val="00302FE1"/>
    <w:rsid w:val="003345E8"/>
    <w:rsid w:val="00360687"/>
    <w:rsid w:val="003A213F"/>
    <w:rsid w:val="003C3200"/>
    <w:rsid w:val="003C68C9"/>
    <w:rsid w:val="004072D8"/>
    <w:rsid w:val="00415D7D"/>
    <w:rsid w:val="00443715"/>
    <w:rsid w:val="004556A5"/>
    <w:rsid w:val="00467817"/>
    <w:rsid w:val="00476570"/>
    <w:rsid w:val="004A33EA"/>
    <w:rsid w:val="004B3123"/>
    <w:rsid w:val="004B5D9C"/>
    <w:rsid w:val="004C698C"/>
    <w:rsid w:val="004E2BE3"/>
    <w:rsid w:val="004E7F4A"/>
    <w:rsid w:val="0051272A"/>
    <w:rsid w:val="005A1B87"/>
    <w:rsid w:val="00601C20"/>
    <w:rsid w:val="00623383"/>
    <w:rsid w:val="0062381A"/>
    <w:rsid w:val="00623AE3"/>
    <w:rsid w:val="00623C9E"/>
    <w:rsid w:val="00624E2B"/>
    <w:rsid w:val="00635D0B"/>
    <w:rsid w:val="0064655F"/>
    <w:rsid w:val="006B1F12"/>
    <w:rsid w:val="006B77D1"/>
    <w:rsid w:val="006D3689"/>
    <w:rsid w:val="006F02F1"/>
    <w:rsid w:val="007214FC"/>
    <w:rsid w:val="0078036D"/>
    <w:rsid w:val="00790A70"/>
    <w:rsid w:val="007A637B"/>
    <w:rsid w:val="007C7FC1"/>
    <w:rsid w:val="007D58BA"/>
    <w:rsid w:val="007E026A"/>
    <w:rsid w:val="007E7F41"/>
    <w:rsid w:val="0080638F"/>
    <w:rsid w:val="008136B0"/>
    <w:rsid w:val="00813796"/>
    <w:rsid w:val="008359CA"/>
    <w:rsid w:val="00844929"/>
    <w:rsid w:val="00883D7D"/>
    <w:rsid w:val="008B19E0"/>
    <w:rsid w:val="008B58D2"/>
    <w:rsid w:val="0090496A"/>
    <w:rsid w:val="009143D7"/>
    <w:rsid w:val="00917FB5"/>
    <w:rsid w:val="009206B6"/>
    <w:rsid w:val="0095027F"/>
    <w:rsid w:val="00973CDD"/>
    <w:rsid w:val="00983263"/>
    <w:rsid w:val="0099129E"/>
    <w:rsid w:val="00993A47"/>
    <w:rsid w:val="009A0EB2"/>
    <w:rsid w:val="009C47CE"/>
    <w:rsid w:val="009E4B42"/>
    <w:rsid w:val="00A0747A"/>
    <w:rsid w:val="00A70E04"/>
    <w:rsid w:val="00A747DD"/>
    <w:rsid w:val="00AB35E2"/>
    <w:rsid w:val="00AF5987"/>
    <w:rsid w:val="00B04E2D"/>
    <w:rsid w:val="00B4133D"/>
    <w:rsid w:val="00B92F3D"/>
    <w:rsid w:val="00B947AB"/>
    <w:rsid w:val="00B968BB"/>
    <w:rsid w:val="00BC0058"/>
    <w:rsid w:val="00BC79D8"/>
    <w:rsid w:val="00BD4EEF"/>
    <w:rsid w:val="00C03C5E"/>
    <w:rsid w:val="00C1607B"/>
    <w:rsid w:val="00C64906"/>
    <w:rsid w:val="00C65D33"/>
    <w:rsid w:val="00C66CD3"/>
    <w:rsid w:val="00C73870"/>
    <w:rsid w:val="00C97AE5"/>
    <w:rsid w:val="00CA4311"/>
    <w:rsid w:val="00CA4AD0"/>
    <w:rsid w:val="00CB190F"/>
    <w:rsid w:val="00CB483E"/>
    <w:rsid w:val="00CC7605"/>
    <w:rsid w:val="00CD0252"/>
    <w:rsid w:val="00CE35F1"/>
    <w:rsid w:val="00CF4BAF"/>
    <w:rsid w:val="00D0518D"/>
    <w:rsid w:val="00D25EF0"/>
    <w:rsid w:val="00D945A1"/>
    <w:rsid w:val="00DF6823"/>
    <w:rsid w:val="00E01502"/>
    <w:rsid w:val="00E01736"/>
    <w:rsid w:val="00E57F5C"/>
    <w:rsid w:val="00E756D9"/>
    <w:rsid w:val="00E845EF"/>
    <w:rsid w:val="00E86D2F"/>
    <w:rsid w:val="00EB2DE2"/>
    <w:rsid w:val="00F038EE"/>
    <w:rsid w:val="00F23770"/>
    <w:rsid w:val="00F3636A"/>
    <w:rsid w:val="00F42516"/>
    <w:rsid w:val="00F558DD"/>
    <w:rsid w:val="00F56C25"/>
    <w:rsid w:val="00F7319A"/>
    <w:rsid w:val="00F73EB8"/>
    <w:rsid w:val="00F77EEB"/>
    <w:rsid w:val="00F80E96"/>
    <w:rsid w:val="00F84D32"/>
    <w:rsid w:val="00F85715"/>
    <w:rsid w:val="00F87A38"/>
    <w:rsid w:val="00F96091"/>
    <w:rsid w:val="00FA39A1"/>
    <w:rsid w:val="00FD3653"/>
    <w:rsid w:val="00FE3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C5BF3"/>
  <w15:chartTrackingRefBased/>
  <w15:docId w15:val="{1D14C452-D046-8043-BA7E-E5721D99C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imes New Roman (Body CS)"/>
        <w:b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0058"/>
    <w:pPr>
      <w:keepNext/>
      <w:keepLines/>
      <w:spacing w:before="240"/>
      <w:outlineLvl w:val="0"/>
    </w:pPr>
    <w:rPr>
      <w:rFonts w:asciiTheme="majorHAnsi" w:eastAsiaTheme="majorEastAsia" w:hAnsiTheme="majorHAnsi" w:cstheme="majorBidi"/>
      <w:color w:val="8A1B3F"/>
      <w:sz w:val="32"/>
      <w:szCs w:val="32"/>
    </w:rPr>
  </w:style>
  <w:style w:type="paragraph" w:styleId="Heading2">
    <w:name w:val="heading 2"/>
    <w:basedOn w:val="Normal"/>
    <w:next w:val="Normal"/>
    <w:link w:val="Heading2Char"/>
    <w:uiPriority w:val="9"/>
    <w:unhideWhenUsed/>
    <w:qFormat/>
    <w:rsid w:val="00BC0058"/>
    <w:pPr>
      <w:keepNext/>
      <w:keepLines/>
      <w:spacing w:before="40"/>
      <w:outlineLvl w:val="1"/>
    </w:pPr>
    <w:rPr>
      <w:rFonts w:asciiTheme="majorHAnsi" w:eastAsiaTheme="majorEastAsia" w:hAnsiTheme="majorHAnsi" w:cstheme="majorBidi"/>
      <w:i/>
      <w:iCs/>
      <w:color w:val="8A1B3F"/>
      <w:sz w:val="26"/>
      <w:szCs w:val="26"/>
    </w:rPr>
  </w:style>
  <w:style w:type="paragraph" w:styleId="Heading3">
    <w:name w:val="heading 3"/>
    <w:basedOn w:val="Normal"/>
    <w:next w:val="Normal"/>
    <w:link w:val="Heading3Char"/>
    <w:uiPriority w:val="9"/>
    <w:unhideWhenUsed/>
    <w:qFormat/>
    <w:rsid w:val="00BC0058"/>
    <w:pPr>
      <w:keepNext/>
      <w:keepLines/>
      <w:spacing w:before="40"/>
      <w:outlineLvl w:val="2"/>
    </w:pPr>
    <w:rPr>
      <w:rFonts w:asciiTheme="majorHAnsi" w:eastAsiaTheme="majorEastAsia" w:hAnsiTheme="majorHAnsi" w:cstheme="majorBidi"/>
      <w:color w:val="651A33"/>
    </w:rPr>
  </w:style>
  <w:style w:type="paragraph" w:styleId="Heading4">
    <w:name w:val="heading 4"/>
    <w:basedOn w:val="Normal"/>
    <w:next w:val="Normal"/>
    <w:link w:val="Heading4Char"/>
    <w:uiPriority w:val="9"/>
    <w:unhideWhenUsed/>
    <w:qFormat/>
    <w:rsid w:val="00BC0058"/>
    <w:pPr>
      <w:keepNext/>
      <w:keepLines/>
      <w:spacing w:before="40"/>
      <w:outlineLvl w:val="3"/>
    </w:pPr>
    <w:rPr>
      <w:rFonts w:asciiTheme="majorHAnsi" w:eastAsiaTheme="majorEastAsia" w:hAnsiTheme="majorHAnsi" w:cstheme="majorBidi"/>
      <w:i/>
      <w:iCs/>
      <w:color w:val="8A1B3F"/>
    </w:rPr>
  </w:style>
  <w:style w:type="paragraph" w:styleId="Heading5">
    <w:name w:val="heading 5"/>
    <w:basedOn w:val="Normal"/>
    <w:next w:val="Normal"/>
    <w:link w:val="Heading5Char"/>
    <w:uiPriority w:val="9"/>
    <w:unhideWhenUsed/>
    <w:qFormat/>
    <w:rsid w:val="00BC0058"/>
    <w:pPr>
      <w:keepNext/>
      <w:keepLines/>
      <w:spacing w:before="40"/>
      <w:outlineLvl w:val="4"/>
    </w:pPr>
    <w:rPr>
      <w:rFonts w:asciiTheme="majorHAnsi" w:eastAsiaTheme="majorEastAsia" w:hAnsiTheme="majorHAnsi" w:cstheme="majorBidi"/>
      <w:color w:val="8A1B3F"/>
    </w:rPr>
  </w:style>
  <w:style w:type="paragraph" w:styleId="Heading6">
    <w:name w:val="heading 6"/>
    <w:basedOn w:val="Normal"/>
    <w:next w:val="Normal"/>
    <w:link w:val="Heading6Char"/>
    <w:uiPriority w:val="9"/>
    <w:unhideWhenUsed/>
    <w:qFormat/>
    <w:rsid w:val="00BC0058"/>
    <w:pPr>
      <w:keepNext/>
      <w:keepLines/>
      <w:spacing w:before="40"/>
      <w:outlineLvl w:val="5"/>
    </w:pPr>
    <w:rPr>
      <w:rFonts w:asciiTheme="majorHAnsi" w:eastAsiaTheme="majorEastAsia" w:hAnsiTheme="majorHAnsi" w:cstheme="majorBidi"/>
      <w:color w:val="651A33"/>
    </w:rPr>
  </w:style>
  <w:style w:type="paragraph" w:styleId="Heading7">
    <w:name w:val="heading 7"/>
    <w:basedOn w:val="Normal"/>
    <w:next w:val="Normal"/>
    <w:link w:val="Heading7Char"/>
    <w:uiPriority w:val="9"/>
    <w:unhideWhenUsed/>
    <w:qFormat/>
    <w:rsid w:val="00BC0058"/>
    <w:pPr>
      <w:keepNext/>
      <w:keepLines/>
      <w:spacing w:before="40"/>
      <w:outlineLvl w:val="6"/>
    </w:pPr>
    <w:rPr>
      <w:rFonts w:asciiTheme="majorHAnsi" w:eastAsiaTheme="majorEastAsia" w:hAnsiTheme="majorHAnsi" w:cstheme="majorBidi"/>
      <w:i/>
      <w:iCs/>
      <w:color w:val="651A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35E2"/>
    <w:pPr>
      <w:tabs>
        <w:tab w:val="center" w:pos="4680"/>
        <w:tab w:val="right" w:pos="9360"/>
      </w:tabs>
    </w:pPr>
  </w:style>
  <w:style w:type="character" w:customStyle="1" w:styleId="HeaderChar">
    <w:name w:val="Header Char"/>
    <w:basedOn w:val="DefaultParagraphFont"/>
    <w:link w:val="Header"/>
    <w:uiPriority w:val="99"/>
    <w:rsid w:val="00AB35E2"/>
  </w:style>
  <w:style w:type="paragraph" w:styleId="Footer">
    <w:name w:val="footer"/>
    <w:basedOn w:val="Normal"/>
    <w:link w:val="FooterChar"/>
    <w:uiPriority w:val="99"/>
    <w:unhideWhenUsed/>
    <w:rsid w:val="00AB35E2"/>
    <w:pPr>
      <w:tabs>
        <w:tab w:val="center" w:pos="4680"/>
        <w:tab w:val="right" w:pos="9360"/>
      </w:tabs>
    </w:pPr>
  </w:style>
  <w:style w:type="character" w:customStyle="1" w:styleId="FooterChar">
    <w:name w:val="Footer Char"/>
    <w:basedOn w:val="DefaultParagraphFont"/>
    <w:link w:val="Footer"/>
    <w:uiPriority w:val="99"/>
    <w:rsid w:val="00AB35E2"/>
  </w:style>
  <w:style w:type="paragraph" w:styleId="Subtitle">
    <w:name w:val="Subtitle"/>
    <w:aliases w:val="Printed Name"/>
    <w:basedOn w:val="Normal"/>
    <w:next w:val="Normal"/>
    <w:link w:val="SubtitleChar"/>
    <w:uiPriority w:val="11"/>
    <w:qFormat/>
    <w:rsid w:val="00CA4311"/>
    <w:pPr>
      <w:autoSpaceDE w:val="0"/>
      <w:autoSpaceDN w:val="0"/>
      <w:adjustRightInd w:val="0"/>
      <w:spacing w:line="276" w:lineRule="auto"/>
    </w:pPr>
    <w:rPr>
      <w:rFonts w:ascii="Segoe UI" w:hAnsi="Segoe UI" w:cs="Segoe UI"/>
      <w:bCs w:val="0"/>
      <w:color w:val="AEAAAA" w:themeColor="background2" w:themeShade="BF"/>
      <w:sz w:val="20"/>
      <w:szCs w:val="20"/>
    </w:rPr>
  </w:style>
  <w:style w:type="character" w:customStyle="1" w:styleId="SubtitleChar">
    <w:name w:val="Subtitle Char"/>
    <w:aliases w:val="Printed Name Char"/>
    <w:basedOn w:val="DefaultParagraphFont"/>
    <w:link w:val="Subtitle"/>
    <w:uiPriority w:val="11"/>
    <w:rsid w:val="00CA4311"/>
    <w:rPr>
      <w:rFonts w:ascii="Segoe UI" w:hAnsi="Segoe UI" w:cs="Segoe UI"/>
      <w:bCs w:val="0"/>
      <w:color w:val="AEAAAA" w:themeColor="background2" w:themeShade="BF"/>
      <w:sz w:val="20"/>
      <w:szCs w:val="20"/>
    </w:rPr>
  </w:style>
  <w:style w:type="paragraph" w:styleId="Title">
    <w:name w:val="Title"/>
    <w:basedOn w:val="Normal"/>
    <w:next w:val="Normal"/>
    <w:link w:val="TitleChar"/>
    <w:uiPriority w:val="10"/>
    <w:qFormat/>
    <w:rsid w:val="00AB35E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5E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C0058"/>
    <w:rPr>
      <w:rFonts w:asciiTheme="majorHAnsi" w:eastAsiaTheme="majorEastAsia" w:hAnsiTheme="majorHAnsi" w:cstheme="majorBidi"/>
      <w:color w:val="8A1B3F"/>
      <w:sz w:val="32"/>
      <w:szCs w:val="32"/>
    </w:rPr>
  </w:style>
  <w:style w:type="character" w:styleId="CommentReference">
    <w:name w:val="annotation reference"/>
    <w:basedOn w:val="DefaultParagraphFont"/>
    <w:uiPriority w:val="99"/>
    <w:semiHidden/>
    <w:unhideWhenUsed/>
    <w:rsid w:val="0095027F"/>
    <w:rPr>
      <w:sz w:val="16"/>
      <w:szCs w:val="16"/>
    </w:rPr>
  </w:style>
  <w:style w:type="paragraph" w:styleId="CommentText">
    <w:name w:val="annotation text"/>
    <w:basedOn w:val="Normal"/>
    <w:link w:val="CommentTextChar"/>
    <w:uiPriority w:val="99"/>
    <w:semiHidden/>
    <w:unhideWhenUsed/>
    <w:rsid w:val="0095027F"/>
    <w:rPr>
      <w:sz w:val="20"/>
      <w:szCs w:val="20"/>
    </w:rPr>
  </w:style>
  <w:style w:type="character" w:customStyle="1" w:styleId="CommentTextChar">
    <w:name w:val="Comment Text Char"/>
    <w:basedOn w:val="DefaultParagraphFont"/>
    <w:link w:val="CommentText"/>
    <w:uiPriority w:val="99"/>
    <w:semiHidden/>
    <w:rsid w:val="0095027F"/>
    <w:rPr>
      <w:sz w:val="20"/>
      <w:szCs w:val="20"/>
    </w:rPr>
  </w:style>
  <w:style w:type="paragraph" w:styleId="CommentSubject">
    <w:name w:val="annotation subject"/>
    <w:basedOn w:val="CommentText"/>
    <w:next w:val="CommentText"/>
    <w:link w:val="CommentSubjectChar"/>
    <w:uiPriority w:val="99"/>
    <w:semiHidden/>
    <w:unhideWhenUsed/>
    <w:rsid w:val="0095027F"/>
    <w:rPr>
      <w:b/>
    </w:rPr>
  </w:style>
  <w:style w:type="character" w:customStyle="1" w:styleId="CommentSubjectChar">
    <w:name w:val="Comment Subject Char"/>
    <w:basedOn w:val="CommentTextChar"/>
    <w:link w:val="CommentSubject"/>
    <w:uiPriority w:val="99"/>
    <w:semiHidden/>
    <w:rsid w:val="0095027F"/>
    <w:rPr>
      <w:b/>
      <w:sz w:val="20"/>
      <w:szCs w:val="20"/>
    </w:rPr>
  </w:style>
  <w:style w:type="paragraph" w:styleId="FootnoteText">
    <w:name w:val="footnote text"/>
    <w:basedOn w:val="Normal"/>
    <w:link w:val="FootnoteTextChar"/>
    <w:uiPriority w:val="99"/>
    <w:semiHidden/>
    <w:unhideWhenUsed/>
    <w:rsid w:val="00A0747A"/>
    <w:rPr>
      <w:sz w:val="20"/>
      <w:szCs w:val="20"/>
    </w:rPr>
  </w:style>
  <w:style w:type="character" w:customStyle="1" w:styleId="FootnoteTextChar">
    <w:name w:val="Footnote Text Char"/>
    <w:basedOn w:val="DefaultParagraphFont"/>
    <w:link w:val="FootnoteText"/>
    <w:uiPriority w:val="99"/>
    <w:semiHidden/>
    <w:rsid w:val="00A0747A"/>
    <w:rPr>
      <w:sz w:val="20"/>
      <w:szCs w:val="20"/>
    </w:rPr>
  </w:style>
  <w:style w:type="character" w:styleId="FootnoteReference">
    <w:name w:val="footnote reference"/>
    <w:basedOn w:val="DefaultParagraphFont"/>
    <w:uiPriority w:val="99"/>
    <w:semiHidden/>
    <w:unhideWhenUsed/>
    <w:rsid w:val="00A0747A"/>
    <w:rPr>
      <w:vertAlign w:val="superscript"/>
    </w:rPr>
  </w:style>
  <w:style w:type="character" w:styleId="Hyperlink">
    <w:name w:val="Hyperlink"/>
    <w:basedOn w:val="DefaultParagraphFont"/>
    <w:uiPriority w:val="99"/>
    <w:unhideWhenUsed/>
    <w:rsid w:val="0026034E"/>
    <w:rPr>
      <w:color w:val="0563C1" w:themeColor="hyperlink"/>
      <w:u w:val="single"/>
    </w:rPr>
  </w:style>
  <w:style w:type="character" w:styleId="UnresolvedMention">
    <w:name w:val="Unresolved Mention"/>
    <w:basedOn w:val="DefaultParagraphFont"/>
    <w:uiPriority w:val="99"/>
    <w:semiHidden/>
    <w:unhideWhenUsed/>
    <w:rsid w:val="0026034E"/>
    <w:rPr>
      <w:color w:val="605E5C"/>
      <w:shd w:val="clear" w:color="auto" w:fill="E1DFDD"/>
    </w:rPr>
  </w:style>
  <w:style w:type="character" w:styleId="Strong">
    <w:name w:val="Strong"/>
    <w:basedOn w:val="DefaultParagraphFont"/>
    <w:uiPriority w:val="22"/>
    <w:qFormat/>
    <w:rsid w:val="0026034E"/>
    <w:rPr>
      <w:b/>
      <w:bCs w:val="0"/>
    </w:rPr>
  </w:style>
  <w:style w:type="character" w:customStyle="1" w:styleId="Heading2Char">
    <w:name w:val="Heading 2 Char"/>
    <w:basedOn w:val="DefaultParagraphFont"/>
    <w:link w:val="Heading2"/>
    <w:uiPriority w:val="9"/>
    <w:rsid w:val="00BC0058"/>
    <w:rPr>
      <w:rFonts w:asciiTheme="majorHAnsi" w:eastAsiaTheme="majorEastAsia" w:hAnsiTheme="majorHAnsi" w:cstheme="majorBidi"/>
      <w:i/>
      <w:iCs/>
      <w:color w:val="8A1B3F"/>
      <w:sz w:val="26"/>
      <w:szCs w:val="26"/>
    </w:rPr>
  </w:style>
  <w:style w:type="paragraph" w:styleId="ListParagraph">
    <w:name w:val="List Paragraph"/>
    <w:basedOn w:val="Normal"/>
    <w:uiPriority w:val="34"/>
    <w:qFormat/>
    <w:rsid w:val="0026034E"/>
    <w:pPr>
      <w:ind w:left="720"/>
      <w:contextualSpacing/>
    </w:pPr>
  </w:style>
  <w:style w:type="character" w:styleId="PageNumber">
    <w:name w:val="page number"/>
    <w:basedOn w:val="DefaultParagraphFont"/>
    <w:uiPriority w:val="99"/>
    <w:semiHidden/>
    <w:unhideWhenUsed/>
    <w:rsid w:val="00360687"/>
  </w:style>
  <w:style w:type="table" w:styleId="TableGrid">
    <w:name w:val="Table Grid"/>
    <w:basedOn w:val="TableNormal"/>
    <w:uiPriority w:val="39"/>
    <w:rsid w:val="00AF59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C0058"/>
    <w:rPr>
      <w:rFonts w:asciiTheme="majorHAnsi" w:eastAsiaTheme="majorEastAsia" w:hAnsiTheme="majorHAnsi" w:cstheme="majorBidi"/>
      <w:color w:val="651A33"/>
    </w:rPr>
  </w:style>
  <w:style w:type="character" w:styleId="FollowedHyperlink">
    <w:name w:val="FollowedHyperlink"/>
    <w:basedOn w:val="DefaultParagraphFont"/>
    <w:uiPriority w:val="99"/>
    <w:semiHidden/>
    <w:unhideWhenUsed/>
    <w:rsid w:val="00114D03"/>
    <w:rPr>
      <w:color w:val="954F72" w:themeColor="followedHyperlink"/>
      <w:u w:val="single"/>
    </w:rPr>
  </w:style>
  <w:style w:type="paragraph" w:styleId="TOC1">
    <w:name w:val="toc 1"/>
    <w:basedOn w:val="Normal"/>
    <w:next w:val="Normal"/>
    <w:autoRedefine/>
    <w:uiPriority w:val="39"/>
    <w:unhideWhenUsed/>
    <w:rsid w:val="00114D03"/>
    <w:pPr>
      <w:spacing w:before="120"/>
    </w:pPr>
    <w:rPr>
      <w:rFonts w:asciiTheme="minorHAnsi" w:hAnsiTheme="minorHAnsi" w:cstheme="minorHAnsi"/>
      <w:b/>
      <w:i/>
      <w:iCs/>
    </w:rPr>
  </w:style>
  <w:style w:type="paragraph" w:styleId="TOC2">
    <w:name w:val="toc 2"/>
    <w:basedOn w:val="Normal"/>
    <w:next w:val="Normal"/>
    <w:autoRedefine/>
    <w:uiPriority w:val="39"/>
    <w:unhideWhenUsed/>
    <w:rsid w:val="00114D03"/>
    <w:pPr>
      <w:spacing w:before="120"/>
      <w:ind w:left="240"/>
    </w:pPr>
    <w:rPr>
      <w:rFonts w:asciiTheme="minorHAnsi" w:hAnsiTheme="minorHAnsi" w:cstheme="minorHAnsi"/>
      <w:b/>
      <w:sz w:val="22"/>
      <w:szCs w:val="22"/>
    </w:rPr>
  </w:style>
  <w:style w:type="paragraph" w:styleId="TOC3">
    <w:name w:val="toc 3"/>
    <w:basedOn w:val="Normal"/>
    <w:next w:val="Normal"/>
    <w:autoRedefine/>
    <w:uiPriority w:val="39"/>
    <w:unhideWhenUsed/>
    <w:rsid w:val="00114D03"/>
    <w:pPr>
      <w:ind w:left="480"/>
    </w:pPr>
    <w:rPr>
      <w:rFonts w:asciiTheme="minorHAnsi" w:hAnsiTheme="minorHAnsi" w:cstheme="minorHAnsi"/>
      <w:bCs w:val="0"/>
      <w:sz w:val="20"/>
      <w:szCs w:val="20"/>
    </w:rPr>
  </w:style>
  <w:style w:type="paragraph" w:styleId="TOC4">
    <w:name w:val="toc 4"/>
    <w:basedOn w:val="Normal"/>
    <w:next w:val="Normal"/>
    <w:autoRedefine/>
    <w:uiPriority w:val="39"/>
    <w:unhideWhenUsed/>
    <w:rsid w:val="00114D03"/>
    <w:pPr>
      <w:ind w:left="720"/>
    </w:pPr>
    <w:rPr>
      <w:rFonts w:asciiTheme="minorHAnsi" w:hAnsiTheme="minorHAnsi" w:cstheme="minorHAnsi"/>
      <w:bCs w:val="0"/>
      <w:sz w:val="20"/>
      <w:szCs w:val="20"/>
    </w:rPr>
  </w:style>
  <w:style w:type="paragraph" w:styleId="TOC5">
    <w:name w:val="toc 5"/>
    <w:basedOn w:val="Normal"/>
    <w:next w:val="Normal"/>
    <w:autoRedefine/>
    <w:uiPriority w:val="39"/>
    <w:unhideWhenUsed/>
    <w:rsid w:val="00114D03"/>
    <w:pPr>
      <w:ind w:left="960"/>
    </w:pPr>
    <w:rPr>
      <w:rFonts w:asciiTheme="minorHAnsi" w:hAnsiTheme="minorHAnsi" w:cstheme="minorHAnsi"/>
      <w:bCs w:val="0"/>
      <w:sz w:val="20"/>
      <w:szCs w:val="20"/>
    </w:rPr>
  </w:style>
  <w:style w:type="paragraph" w:styleId="TOC6">
    <w:name w:val="toc 6"/>
    <w:basedOn w:val="Normal"/>
    <w:next w:val="Normal"/>
    <w:autoRedefine/>
    <w:uiPriority w:val="39"/>
    <w:unhideWhenUsed/>
    <w:rsid w:val="00114D03"/>
    <w:pPr>
      <w:ind w:left="1200"/>
    </w:pPr>
    <w:rPr>
      <w:rFonts w:asciiTheme="minorHAnsi" w:hAnsiTheme="minorHAnsi" w:cstheme="minorHAnsi"/>
      <w:bCs w:val="0"/>
      <w:sz w:val="20"/>
      <w:szCs w:val="20"/>
    </w:rPr>
  </w:style>
  <w:style w:type="paragraph" w:styleId="TOC7">
    <w:name w:val="toc 7"/>
    <w:basedOn w:val="Normal"/>
    <w:next w:val="Normal"/>
    <w:autoRedefine/>
    <w:uiPriority w:val="39"/>
    <w:unhideWhenUsed/>
    <w:rsid w:val="00114D03"/>
    <w:pPr>
      <w:ind w:left="1440"/>
    </w:pPr>
    <w:rPr>
      <w:rFonts w:asciiTheme="minorHAnsi" w:hAnsiTheme="minorHAnsi" w:cstheme="minorHAnsi"/>
      <w:bCs w:val="0"/>
      <w:sz w:val="20"/>
      <w:szCs w:val="20"/>
    </w:rPr>
  </w:style>
  <w:style w:type="paragraph" w:styleId="TOC8">
    <w:name w:val="toc 8"/>
    <w:basedOn w:val="Normal"/>
    <w:next w:val="Normal"/>
    <w:autoRedefine/>
    <w:uiPriority w:val="39"/>
    <w:unhideWhenUsed/>
    <w:rsid w:val="00114D03"/>
    <w:pPr>
      <w:ind w:left="1680"/>
    </w:pPr>
    <w:rPr>
      <w:rFonts w:asciiTheme="minorHAnsi" w:hAnsiTheme="minorHAnsi" w:cstheme="minorHAnsi"/>
      <w:bCs w:val="0"/>
      <w:sz w:val="20"/>
      <w:szCs w:val="20"/>
    </w:rPr>
  </w:style>
  <w:style w:type="paragraph" w:styleId="TOC9">
    <w:name w:val="toc 9"/>
    <w:basedOn w:val="Normal"/>
    <w:next w:val="Normal"/>
    <w:autoRedefine/>
    <w:uiPriority w:val="39"/>
    <w:unhideWhenUsed/>
    <w:rsid w:val="00114D03"/>
    <w:pPr>
      <w:ind w:left="1920"/>
    </w:pPr>
    <w:rPr>
      <w:rFonts w:asciiTheme="minorHAnsi" w:hAnsiTheme="minorHAnsi" w:cstheme="minorHAnsi"/>
      <w:bCs w:val="0"/>
      <w:sz w:val="20"/>
      <w:szCs w:val="20"/>
    </w:rPr>
  </w:style>
  <w:style w:type="character" w:customStyle="1" w:styleId="Heading4Char">
    <w:name w:val="Heading 4 Char"/>
    <w:basedOn w:val="DefaultParagraphFont"/>
    <w:link w:val="Heading4"/>
    <w:uiPriority w:val="9"/>
    <w:rsid w:val="00BC0058"/>
    <w:rPr>
      <w:rFonts w:asciiTheme="majorHAnsi" w:eastAsiaTheme="majorEastAsia" w:hAnsiTheme="majorHAnsi" w:cstheme="majorBidi"/>
      <w:i/>
      <w:iCs/>
      <w:color w:val="8A1B3F"/>
    </w:rPr>
  </w:style>
  <w:style w:type="character" w:customStyle="1" w:styleId="Heading5Char">
    <w:name w:val="Heading 5 Char"/>
    <w:basedOn w:val="DefaultParagraphFont"/>
    <w:link w:val="Heading5"/>
    <w:uiPriority w:val="9"/>
    <w:rsid w:val="00BC0058"/>
    <w:rPr>
      <w:rFonts w:asciiTheme="majorHAnsi" w:eastAsiaTheme="majorEastAsia" w:hAnsiTheme="majorHAnsi" w:cstheme="majorBidi"/>
      <w:color w:val="8A1B3F"/>
    </w:rPr>
  </w:style>
  <w:style w:type="character" w:customStyle="1" w:styleId="Heading6Char">
    <w:name w:val="Heading 6 Char"/>
    <w:basedOn w:val="DefaultParagraphFont"/>
    <w:link w:val="Heading6"/>
    <w:uiPriority w:val="9"/>
    <w:rsid w:val="00BC0058"/>
    <w:rPr>
      <w:rFonts w:asciiTheme="majorHAnsi" w:eastAsiaTheme="majorEastAsia" w:hAnsiTheme="majorHAnsi" w:cstheme="majorBidi"/>
      <w:color w:val="651A33"/>
    </w:rPr>
  </w:style>
  <w:style w:type="character" w:customStyle="1" w:styleId="Heading7Char">
    <w:name w:val="Heading 7 Char"/>
    <w:basedOn w:val="DefaultParagraphFont"/>
    <w:link w:val="Heading7"/>
    <w:uiPriority w:val="9"/>
    <w:rsid w:val="00BC0058"/>
    <w:rPr>
      <w:rFonts w:asciiTheme="majorHAnsi" w:eastAsiaTheme="majorEastAsia" w:hAnsiTheme="majorHAnsi" w:cstheme="majorBidi"/>
      <w:i/>
      <w:iCs/>
      <w:color w:val="651A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57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2222</Words>
  <Characters>12669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Earlham College</Company>
  <LinksUpToDate>false</LinksUpToDate>
  <CharactersWithSpaces>14862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D. Reavis</dc:creator>
  <cp:keywords/>
  <dc:description/>
  <cp:lastModifiedBy>Beth Mechlin</cp:lastModifiedBy>
  <cp:revision>4</cp:revision>
  <cp:lastPrinted>2024-01-26T14:13:00Z</cp:lastPrinted>
  <dcterms:created xsi:type="dcterms:W3CDTF">2026-05-19T14:21:00Z</dcterms:created>
  <dcterms:modified xsi:type="dcterms:W3CDTF">2026-08-12T09:55:00Z</dcterms:modified>
</cp:coreProperties>
</file>